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F2C9" w14:textId="77777777" w:rsidR="00FF6498" w:rsidRPr="009A0F77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bookmarkStart w:id="0" w:name="_Hlk45179889"/>
      <w:r w:rsidRPr="009A0F77">
        <w:rPr>
          <w:rFonts w:eastAsia="Calibri"/>
          <w:b/>
          <w:sz w:val="22"/>
          <w:szCs w:val="22"/>
          <w:u w:val="single"/>
        </w:rPr>
        <w:t>COMISSÃO DE CONSTITUIÇÃO, JUSTIÇA E CIDADANIA</w:t>
      </w:r>
    </w:p>
    <w:p w14:paraId="129BFDB0" w14:textId="2445D825" w:rsidR="00FF6498" w:rsidRPr="009A0F77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r w:rsidRPr="009A0F77">
        <w:rPr>
          <w:rFonts w:eastAsia="Calibri"/>
          <w:b/>
          <w:sz w:val="22"/>
          <w:szCs w:val="22"/>
          <w:u w:val="single"/>
        </w:rPr>
        <w:t xml:space="preserve">PARECER </w:t>
      </w:r>
      <w:r w:rsidR="00CB68F6" w:rsidRPr="009A0F77">
        <w:rPr>
          <w:rFonts w:eastAsia="Calibri"/>
          <w:b/>
          <w:sz w:val="22"/>
          <w:szCs w:val="22"/>
          <w:u w:val="single"/>
        </w:rPr>
        <w:t>Nº</w:t>
      </w:r>
      <w:r w:rsidR="0027776A">
        <w:rPr>
          <w:rFonts w:eastAsia="Calibri"/>
          <w:b/>
          <w:sz w:val="22"/>
          <w:szCs w:val="22"/>
          <w:u w:val="single"/>
        </w:rPr>
        <w:t xml:space="preserve"> </w:t>
      </w:r>
      <w:r w:rsidR="00732292">
        <w:rPr>
          <w:rFonts w:eastAsia="Calibri"/>
          <w:b/>
          <w:sz w:val="22"/>
          <w:szCs w:val="22"/>
          <w:u w:val="single"/>
        </w:rPr>
        <w:t>42</w:t>
      </w:r>
      <w:r w:rsidR="00A03FE3">
        <w:rPr>
          <w:rFonts w:eastAsia="Calibri"/>
          <w:b/>
          <w:sz w:val="22"/>
          <w:szCs w:val="22"/>
          <w:u w:val="single"/>
        </w:rPr>
        <w:t>3</w:t>
      </w:r>
      <w:r w:rsidR="00B96CC1">
        <w:rPr>
          <w:rFonts w:eastAsia="Calibri"/>
          <w:b/>
          <w:sz w:val="22"/>
          <w:szCs w:val="22"/>
          <w:u w:val="single"/>
        </w:rPr>
        <w:t xml:space="preserve"> </w:t>
      </w:r>
      <w:r w:rsidR="00F42DB9" w:rsidRPr="009A0F77">
        <w:rPr>
          <w:rFonts w:eastAsia="Calibri"/>
          <w:b/>
          <w:sz w:val="22"/>
          <w:szCs w:val="22"/>
          <w:u w:val="single"/>
        </w:rPr>
        <w:t>/</w:t>
      </w:r>
      <w:r w:rsidRPr="009A0F77">
        <w:rPr>
          <w:rFonts w:eastAsia="Calibri"/>
          <w:b/>
          <w:sz w:val="22"/>
          <w:szCs w:val="22"/>
          <w:u w:val="single"/>
        </w:rPr>
        <w:t>20</w:t>
      </w:r>
      <w:r w:rsidR="00C7717E" w:rsidRPr="009A0F77">
        <w:rPr>
          <w:rFonts w:eastAsia="Calibri"/>
          <w:b/>
          <w:sz w:val="22"/>
          <w:szCs w:val="22"/>
          <w:u w:val="single"/>
        </w:rPr>
        <w:t>2</w:t>
      </w:r>
      <w:r w:rsidR="00F42DB9" w:rsidRPr="009A0F77">
        <w:rPr>
          <w:rFonts w:eastAsia="Calibri"/>
          <w:b/>
          <w:sz w:val="22"/>
          <w:szCs w:val="22"/>
          <w:u w:val="single"/>
        </w:rPr>
        <w:t>4</w:t>
      </w:r>
    </w:p>
    <w:p w14:paraId="3D25F44B" w14:textId="77777777" w:rsidR="00A03FE3" w:rsidRDefault="00FF5E60" w:rsidP="00A03FE3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9A0F77">
        <w:rPr>
          <w:b/>
          <w:color w:val="000000" w:themeColor="text1"/>
          <w:sz w:val="22"/>
          <w:szCs w:val="22"/>
          <w:u w:val="single"/>
        </w:rPr>
        <w:t>RELATÓRIO</w:t>
      </w:r>
      <w:r w:rsidR="00FF6498" w:rsidRPr="009A0F77">
        <w:rPr>
          <w:b/>
          <w:color w:val="000000" w:themeColor="text1"/>
          <w:sz w:val="22"/>
          <w:szCs w:val="22"/>
          <w:u w:val="single"/>
        </w:rPr>
        <w:t>:</w:t>
      </w:r>
      <w:bookmarkStart w:id="1" w:name="_Hlk73521583"/>
    </w:p>
    <w:p w14:paraId="41B69E1E" w14:textId="59115F33" w:rsid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 </w:t>
      </w:r>
      <w:r w:rsidR="003D406A" w:rsidRPr="006A0F2B">
        <w:rPr>
          <w:iCs/>
          <w:color w:val="000000" w:themeColor="text1"/>
          <w:sz w:val="24"/>
          <w:szCs w:val="24"/>
        </w:rPr>
        <w:t xml:space="preserve">Cuida-se da </w:t>
      </w:r>
      <w:r w:rsidR="003D406A" w:rsidRPr="006A0F2B">
        <w:rPr>
          <w:iCs/>
          <w:sz w:val="24"/>
          <w:szCs w:val="24"/>
        </w:rPr>
        <w:t xml:space="preserve">análise de constitucionalidade, juridicidade, legalidade e técnica legislativa do </w:t>
      </w:r>
      <w:r w:rsidR="003D406A" w:rsidRPr="006A0F2B">
        <w:rPr>
          <w:b/>
          <w:bCs/>
          <w:iCs/>
          <w:sz w:val="24"/>
          <w:szCs w:val="24"/>
        </w:rPr>
        <w:t xml:space="preserve">Projeto de Lei </w:t>
      </w:r>
      <w:r w:rsidR="00E669CB" w:rsidRPr="006A0F2B">
        <w:rPr>
          <w:b/>
          <w:bCs/>
          <w:iCs/>
          <w:sz w:val="24"/>
          <w:szCs w:val="24"/>
        </w:rPr>
        <w:t xml:space="preserve">nº </w:t>
      </w:r>
      <w:r>
        <w:rPr>
          <w:b/>
          <w:bCs/>
          <w:iCs/>
          <w:sz w:val="24"/>
          <w:szCs w:val="24"/>
        </w:rPr>
        <w:t>191</w:t>
      </w:r>
      <w:r w:rsidR="002F67D8" w:rsidRPr="006A0F2B">
        <w:rPr>
          <w:b/>
          <w:bCs/>
          <w:iCs/>
          <w:sz w:val="24"/>
          <w:szCs w:val="24"/>
        </w:rPr>
        <w:t>/20</w:t>
      </w:r>
      <w:r w:rsidR="006A0F2B" w:rsidRPr="006A0F2B">
        <w:rPr>
          <w:b/>
          <w:bCs/>
          <w:iCs/>
          <w:sz w:val="24"/>
          <w:szCs w:val="24"/>
        </w:rPr>
        <w:t>24</w:t>
      </w:r>
      <w:r w:rsidR="00125B74" w:rsidRPr="006A0F2B">
        <w:rPr>
          <w:b/>
          <w:bCs/>
          <w:iCs/>
          <w:sz w:val="24"/>
          <w:szCs w:val="24"/>
        </w:rPr>
        <w:t>,</w:t>
      </w:r>
      <w:r w:rsidR="003D406A" w:rsidRPr="006A0F2B">
        <w:rPr>
          <w:iCs/>
          <w:sz w:val="24"/>
          <w:szCs w:val="24"/>
        </w:rPr>
        <w:t xml:space="preserve"> de autoria </w:t>
      </w:r>
      <w:r w:rsidR="003D406A" w:rsidRPr="006A0F2B">
        <w:rPr>
          <w:iCs/>
          <w:color w:val="000000" w:themeColor="text1"/>
          <w:sz w:val="24"/>
          <w:szCs w:val="24"/>
        </w:rPr>
        <w:t>d</w:t>
      </w:r>
      <w:r w:rsidR="00B96CC1">
        <w:rPr>
          <w:iCs/>
          <w:color w:val="000000" w:themeColor="text1"/>
          <w:sz w:val="24"/>
          <w:szCs w:val="24"/>
        </w:rPr>
        <w:t>o</w:t>
      </w:r>
      <w:r w:rsidR="00E669CB" w:rsidRPr="006A0F2B">
        <w:rPr>
          <w:iCs/>
          <w:color w:val="000000" w:themeColor="text1"/>
          <w:sz w:val="24"/>
          <w:szCs w:val="24"/>
        </w:rPr>
        <w:t xml:space="preserve"> Senhor </w:t>
      </w:r>
      <w:r w:rsidR="00C55CF1" w:rsidRPr="006A0F2B">
        <w:rPr>
          <w:iCs/>
          <w:color w:val="000000" w:themeColor="text1"/>
          <w:sz w:val="24"/>
          <w:szCs w:val="24"/>
        </w:rPr>
        <w:t>Deputad</w:t>
      </w:r>
      <w:r w:rsidR="00B96CC1">
        <w:rPr>
          <w:iCs/>
          <w:color w:val="000000" w:themeColor="text1"/>
          <w:sz w:val="24"/>
          <w:szCs w:val="24"/>
        </w:rPr>
        <w:t xml:space="preserve">o </w:t>
      </w:r>
      <w:r>
        <w:rPr>
          <w:iCs/>
          <w:color w:val="000000" w:themeColor="text1"/>
          <w:sz w:val="24"/>
          <w:szCs w:val="24"/>
        </w:rPr>
        <w:t>Neto Evangelista</w:t>
      </w:r>
      <w:r w:rsidR="00B96CC1">
        <w:rPr>
          <w:iCs/>
          <w:color w:val="000000" w:themeColor="text1"/>
          <w:sz w:val="24"/>
          <w:szCs w:val="24"/>
        </w:rPr>
        <w:t xml:space="preserve">, que </w:t>
      </w:r>
      <w:r w:rsidRPr="00A03FE3">
        <w:rPr>
          <w:iCs/>
          <w:color w:val="000000" w:themeColor="text1"/>
          <w:sz w:val="24"/>
          <w:szCs w:val="24"/>
        </w:rPr>
        <w:t xml:space="preserve">Institui </w:t>
      </w:r>
      <w:r>
        <w:rPr>
          <w:iCs/>
          <w:color w:val="000000" w:themeColor="text1"/>
          <w:sz w:val="24"/>
          <w:szCs w:val="24"/>
        </w:rPr>
        <w:t>o</w:t>
      </w:r>
      <w:r w:rsidRPr="00A03FE3">
        <w:rPr>
          <w:iCs/>
          <w:color w:val="000000" w:themeColor="text1"/>
          <w:sz w:val="24"/>
          <w:szCs w:val="24"/>
        </w:rPr>
        <w:t xml:space="preserve"> Programa </w:t>
      </w:r>
      <w:r>
        <w:rPr>
          <w:iCs/>
          <w:color w:val="000000" w:themeColor="text1"/>
          <w:sz w:val="24"/>
          <w:szCs w:val="24"/>
        </w:rPr>
        <w:t>d</w:t>
      </w:r>
      <w:r w:rsidRPr="00A03FE3">
        <w:rPr>
          <w:iCs/>
          <w:color w:val="000000" w:themeColor="text1"/>
          <w:sz w:val="24"/>
          <w:szCs w:val="24"/>
        </w:rPr>
        <w:t>e Atenção ao Diagnóstico de Autismo</w:t>
      </w:r>
      <w:r>
        <w:rPr>
          <w:iCs/>
          <w:color w:val="000000" w:themeColor="text1"/>
          <w:sz w:val="24"/>
          <w:szCs w:val="24"/>
        </w:rPr>
        <w:t xml:space="preserve"> </w:t>
      </w:r>
      <w:r w:rsidRPr="00A03FE3">
        <w:rPr>
          <w:iCs/>
          <w:color w:val="000000" w:themeColor="text1"/>
          <w:sz w:val="24"/>
          <w:szCs w:val="24"/>
        </w:rPr>
        <w:t xml:space="preserve">e Intervenção Precoce no Estado, e dá outras providências. </w:t>
      </w:r>
    </w:p>
    <w:p w14:paraId="58B1A672" w14:textId="7E294579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 Registra a justificativa do autor, </w:t>
      </w:r>
      <w:r w:rsidRPr="00A03FE3">
        <w:rPr>
          <w:i/>
          <w:color w:val="000000" w:themeColor="text1"/>
          <w:sz w:val="24"/>
          <w:szCs w:val="24"/>
        </w:rPr>
        <w:t xml:space="preserve">que segundo o Manual de Orientação do Transtorno do Espectro do Autismo da Sociedade Brasileiro de Pediatria (SBP), o número de diagnósticos de autismo vem aumentando </w:t>
      </w:r>
      <w:proofErr w:type="spellStart"/>
      <w:r w:rsidRPr="00A03FE3">
        <w:rPr>
          <w:i/>
          <w:color w:val="000000" w:themeColor="text1"/>
          <w:sz w:val="24"/>
          <w:szCs w:val="24"/>
        </w:rPr>
        <w:t>significamente</w:t>
      </w:r>
      <w:proofErr w:type="spellEnd"/>
      <w:r w:rsidRPr="00A03FE3">
        <w:rPr>
          <w:i/>
          <w:color w:val="000000" w:themeColor="text1"/>
          <w:sz w:val="24"/>
          <w:szCs w:val="24"/>
        </w:rPr>
        <w:t>. “Nos Estados Unidos da América, por exemplo, de 1 para cada 150 crianças de8 anos em 2000 e 2002, a prevalência do TEA aumentou para 1 para cada 68 crianças em 2010e 2012, chegando à prevalência de 1 para cada 58 em 2014.” (SBP, 2019, p.2). Ainda de acordo com a Sociedade Brasileira de Pediatria (2019), esse aumento acontece devido ao desenvolvimento de instrumentos diagnósticos e de rastreamento com propriedades psicométricas adequadas e também devido à ampliação dos critérios diagnósticos.</w:t>
      </w:r>
      <w:r w:rsidRPr="00A03FE3">
        <w:rPr>
          <w:iCs/>
          <w:color w:val="000000" w:themeColor="text1"/>
          <w:sz w:val="24"/>
          <w:szCs w:val="24"/>
        </w:rPr>
        <w:t xml:space="preserve">  </w:t>
      </w:r>
    </w:p>
    <w:p w14:paraId="0C263087" w14:textId="105B291F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Gaiato e Teixeira (2018) relatam que esse aumento de diagnósticos também acontece devido às famílias que estão buscando ajuda e mais informações e aos médicos que estão mais capacitados para realizar esse diagnóstico. </w:t>
      </w:r>
    </w:p>
    <w:p w14:paraId="67F60209" w14:textId="14454EF9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Cs/>
          <w:color w:val="000000" w:themeColor="text1"/>
          <w:sz w:val="24"/>
          <w:szCs w:val="24"/>
        </w:rPr>
        <w:t xml:space="preserve"> </w:t>
      </w:r>
      <w:r w:rsidRPr="00A03FE3">
        <w:rPr>
          <w:i/>
          <w:color w:val="000000" w:themeColor="text1"/>
          <w:sz w:val="24"/>
          <w:szCs w:val="24"/>
        </w:rPr>
        <w:t xml:space="preserve">Segundo o DSM V, os fatores de risco podem ser genéticos e ambientais, onde a idade parental avançada, exposição fetal a ácido </w:t>
      </w:r>
      <w:proofErr w:type="spellStart"/>
      <w:r w:rsidRPr="00A03FE3">
        <w:rPr>
          <w:i/>
          <w:color w:val="000000" w:themeColor="text1"/>
          <w:sz w:val="24"/>
          <w:szCs w:val="24"/>
        </w:rPr>
        <w:t>valproico</w:t>
      </w:r>
      <w:proofErr w:type="spellEnd"/>
      <w:r w:rsidRPr="00A03FE3">
        <w:rPr>
          <w:i/>
          <w:color w:val="000000" w:themeColor="text1"/>
          <w:sz w:val="24"/>
          <w:szCs w:val="24"/>
        </w:rPr>
        <w:t xml:space="preserve"> e baixo peso ao nascer são fatores que podem contribuir para que o indivíduo esteja dentro do TEA. </w:t>
      </w:r>
    </w:p>
    <w:p w14:paraId="49251491" w14:textId="41F36F96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 Para Costa (2014), ainda há muito para compreender sobre o transtorno do espectro autista, pois é uma área muito ampla, complexa e que traz variações dentro do mesmo transtorno. De acordo com a Sociedade Brasileira de pediatria, a partir dos 12 meses já é possível distinguir sinais em crianças com autismo, ficando bastante evidente entre 12 e 18 meses.  </w:t>
      </w:r>
    </w:p>
    <w:p w14:paraId="532FCA20" w14:textId="330CB21F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Segundo Malheiros, e colaboradores (2017), os pais percebem os primeiros sinais aos 18 meses, quando normalmente há o atraso ou ausência de fala. Outros sinais comuns também neste período é o isolamento, dificuldade em compartilhar atenção e imitação.  </w:t>
      </w:r>
    </w:p>
    <w:p w14:paraId="5C48C1F0" w14:textId="091A26EE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lastRenderedPageBreak/>
        <w:t xml:space="preserve">“Além da percepção desses atrasos, os pais também relatam como fonte de suas preocupações alterações de sono e de padrões de alimentação de seus filhos, nessa faixa etária”. (GUILHARDI, </w:t>
      </w:r>
      <w:proofErr w:type="gramStart"/>
      <w:r w:rsidRPr="00A03FE3">
        <w:rPr>
          <w:i/>
          <w:color w:val="000000" w:themeColor="text1"/>
          <w:sz w:val="24"/>
          <w:szCs w:val="24"/>
        </w:rPr>
        <w:t>ROMANO,BAGAIOLO</w:t>
      </w:r>
      <w:proofErr w:type="gramEnd"/>
      <w:r w:rsidRPr="00A03FE3">
        <w:rPr>
          <w:i/>
          <w:color w:val="000000" w:themeColor="text1"/>
          <w:sz w:val="24"/>
          <w:szCs w:val="24"/>
        </w:rPr>
        <w:t xml:space="preserve">, 2011, p. 268). </w:t>
      </w:r>
    </w:p>
    <w:p w14:paraId="6C7FD513" w14:textId="7540ED4C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O Transtorno do Espectro Autista (TEA) é uma condição complexa que afeta a interação social, a comunicação, os interesses e o comportamento. O diagnóstico precoce do autismo é importante, pois as intervenções também poderão ser feitas precocemente, constituindo-se parte da Política Nacional de Proteção dos Direitos da Pessoa com Transtorno do Espectro Autista, de acordo com o Artigo 3º, inciso II, alínea “a”, da Lei 12.764/12:  </w:t>
      </w:r>
    </w:p>
    <w:p w14:paraId="7F1E2D4A" w14:textId="77777777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1134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Art. 3º São direitos da pessoa com transtorno do espectro autista:  </w:t>
      </w:r>
    </w:p>
    <w:p w14:paraId="2D925FD9" w14:textId="13CCD3D9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1134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III - o acesso a ações e serviços de saúde, com vistas à atenção integral às suas necessidades de saúde, incluindo:  </w:t>
      </w:r>
    </w:p>
    <w:p w14:paraId="6373C353" w14:textId="77777777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1134"/>
        <w:jc w:val="both"/>
        <w:rPr>
          <w:i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a) o diagnóstico precoce, ainda que não definitivo;  </w:t>
      </w:r>
    </w:p>
    <w:p w14:paraId="3F5B3334" w14:textId="7E231DFF" w:rsidR="00A03FE3" w:rsidRPr="00A03FE3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 w:themeColor="text1"/>
          <w:sz w:val="24"/>
          <w:szCs w:val="24"/>
        </w:rPr>
      </w:pPr>
      <w:r w:rsidRPr="00A03FE3">
        <w:rPr>
          <w:i/>
          <w:color w:val="000000" w:themeColor="text1"/>
          <w:sz w:val="24"/>
          <w:szCs w:val="24"/>
        </w:rPr>
        <w:t xml:space="preserve">O diagnóstico precoce consequente início da intervenção, ainda que não se tenha um diagnóstico fechado (laudo), proporciona a oportunidade de melhorar, significativamente, a qualidade de vida dessa criança, além de reforçar os princípios basilares da dignidade da pessoa humana.  </w:t>
      </w:r>
      <w:r>
        <w:rPr>
          <w:iCs/>
          <w:color w:val="000000" w:themeColor="text1"/>
          <w:sz w:val="24"/>
          <w:szCs w:val="24"/>
        </w:rPr>
        <w:t>Essa justificativa por si só atende a pertinência da matéria.</w:t>
      </w:r>
    </w:p>
    <w:p w14:paraId="432FE354" w14:textId="0FE4835C" w:rsidR="00B96CC1" w:rsidRPr="00B96CC1" w:rsidRDefault="00A03FE3" w:rsidP="00A03FE3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 w:themeColor="text1"/>
          <w:sz w:val="24"/>
          <w:szCs w:val="24"/>
          <w:u w:val="single"/>
        </w:rPr>
      </w:pPr>
      <w:r w:rsidRPr="00A03FE3">
        <w:rPr>
          <w:iCs/>
          <w:color w:val="000000" w:themeColor="text1"/>
          <w:sz w:val="24"/>
          <w:szCs w:val="24"/>
        </w:rPr>
        <w:t xml:space="preserve"> </w:t>
      </w:r>
      <w:r w:rsidR="00B96CC1" w:rsidRPr="00B96CC1">
        <w:rPr>
          <w:iCs/>
          <w:color w:val="000000" w:themeColor="text1"/>
          <w:sz w:val="24"/>
          <w:szCs w:val="24"/>
        </w:rPr>
        <w:t>Tendo em vista que a matéria contida no bojo da proposição relaciona-se à instituição de política pública estadual, a princípio, a proposição se insere no âmbito daquelas de iniciativa privativa do Governador a que se refere do </w:t>
      </w:r>
      <w:hyperlink r:id="rId7" w:history="1">
        <w:r w:rsidR="00B96CC1" w:rsidRPr="00B96CC1">
          <w:rPr>
            <w:rStyle w:val="Hyperlink"/>
            <w:iCs/>
            <w:sz w:val="24"/>
            <w:szCs w:val="24"/>
          </w:rPr>
          <w:t>art. 43</w:t>
        </w:r>
        <w:r>
          <w:rPr>
            <w:rStyle w:val="Hyperlink"/>
            <w:iCs/>
            <w:sz w:val="24"/>
            <w:szCs w:val="24"/>
          </w:rPr>
          <w:t>,</w:t>
        </w:r>
        <w:r w:rsidR="00B96CC1" w:rsidRPr="00B96CC1">
          <w:rPr>
            <w:rStyle w:val="Hyperlink"/>
            <w:iCs/>
            <w:sz w:val="24"/>
            <w:szCs w:val="24"/>
          </w:rPr>
          <w:t xml:space="preserve"> da Constituição do Estado</w:t>
        </w:r>
      </w:hyperlink>
      <w:r w:rsidR="00B96CC1" w:rsidRPr="00B96CC1">
        <w:rPr>
          <w:iCs/>
          <w:color w:val="000000" w:themeColor="text1"/>
          <w:sz w:val="24"/>
          <w:szCs w:val="24"/>
          <w:u w:val="single"/>
        </w:rPr>
        <w:t xml:space="preserve"> do Maranhão. </w:t>
      </w:r>
    </w:p>
    <w:p w14:paraId="1F30E69C" w14:textId="77777777" w:rsidR="00B96CC1" w:rsidRPr="00B96CC1" w:rsidRDefault="00B96CC1" w:rsidP="00B96CC1">
      <w:pPr>
        <w:shd w:val="clear" w:color="auto" w:fill="FFFFFF"/>
        <w:spacing w:line="360" w:lineRule="auto"/>
        <w:ind w:firstLine="851"/>
        <w:jc w:val="both"/>
        <w:rPr>
          <w:iCs/>
          <w:color w:val="000000" w:themeColor="text1"/>
          <w:sz w:val="24"/>
          <w:szCs w:val="24"/>
          <w:u w:val="single"/>
        </w:rPr>
      </w:pPr>
      <w:r w:rsidRPr="00B96CC1">
        <w:rPr>
          <w:iCs/>
          <w:color w:val="000000" w:themeColor="text1"/>
          <w:sz w:val="24"/>
          <w:szCs w:val="24"/>
        </w:rPr>
        <w:t xml:space="preserve">Todavia, ao revés da regra geral, </w:t>
      </w:r>
      <w:r w:rsidRPr="00B96CC1">
        <w:rPr>
          <w:i/>
          <w:iCs/>
          <w:color w:val="000000" w:themeColor="text1"/>
          <w:sz w:val="24"/>
          <w:szCs w:val="24"/>
        </w:rPr>
        <w:t xml:space="preserve">in </w:t>
      </w:r>
      <w:proofErr w:type="spellStart"/>
      <w:r w:rsidRPr="00B96CC1">
        <w:rPr>
          <w:i/>
          <w:iCs/>
          <w:color w:val="000000" w:themeColor="text1"/>
          <w:sz w:val="24"/>
          <w:szCs w:val="24"/>
        </w:rPr>
        <w:t>casu</w:t>
      </w:r>
      <w:proofErr w:type="spellEnd"/>
      <w:r w:rsidRPr="00B96CC1">
        <w:rPr>
          <w:iCs/>
          <w:color w:val="000000" w:themeColor="text1"/>
          <w:sz w:val="24"/>
          <w:szCs w:val="24"/>
        </w:rPr>
        <w:t xml:space="preserve"> viabiliza-se a apresentação de projeto de lei de iniciativa parlamentar na criação de políticas públicas desde que, em respeito ao Princípio da Separação entre os Poderes, </w:t>
      </w:r>
      <w:r w:rsidRPr="00B96CC1">
        <w:rPr>
          <w:iCs/>
          <w:color w:val="000000" w:themeColor="text1"/>
          <w:sz w:val="24"/>
          <w:szCs w:val="24"/>
          <w:u w:val="single"/>
        </w:rPr>
        <w:t>não haja interferência na estrutura organizacional da administração pública do Poder Executivo e nem se atribuam competências a órgãos e entidades estatais.</w:t>
      </w:r>
    </w:p>
    <w:p w14:paraId="032D3F6C" w14:textId="36225182" w:rsidR="00B96CC1" w:rsidRPr="00B96CC1" w:rsidRDefault="00B96CC1" w:rsidP="00B96CC1">
      <w:pPr>
        <w:shd w:val="clear" w:color="auto" w:fill="FFFFFF"/>
        <w:spacing w:line="360" w:lineRule="auto"/>
        <w:ind w:firstLine="851"/>
        <w:jc w:val="both"/>
        <w:rPr>
          <w:iCs/>
          <w:color w:val="000000" w:themeColor="text1"/>
          <w:sz w:val="24"/>
          <w:szCs w:val="24"/>
        </w:rPr>
      </w:pPr>
      <w:r w:rsidRPr="00B96CC1">
        <w:rPr>
          <w:iCs/>
          <w:color w:val="000000" w:themeColor="text1"/>
          <w:sz w:val="24"/>
          <w:szCs w:val="24"/>
        </w:rPr>
        <w:t xml:space="preserve">A instituição de política pública estadual, mediante projeto de lei de iniciativa parlamentar, torna-se juridicamente viável contanto que a política se restrinja à definição de </w:t>
      </w:r>
      <w:r w:rsidRPr="00B96CC1">
        <w:rPr>
          <w:b/>
          <w:bCs/>
          <w:iCs/>
          <w:color w:val="000000" w:themeColor="text1"/>
          <w:sz w:val="24"/>
          <w:szCs w:val="24"/>
          <w:u w:val="single"/>
        </w:rPr>
        <w:t>diretrizes, parâmetros e objetivos</w:t>
      </w:r>
      <w:r w:rsidRPr="00B96CC1">
        <w:rPr>
          <w:iCs/>
          <w:color w:val="000000" w:themeColor="text1"/>
          <w:sz w:val="24"/>
          <w:szCs w:val="24"/>
        </w:rPr>
        <w:t xml:space="preserve">, como no presente </w:t>
      </w:r>
      <w:r w:rsidR="00A03FE3">
        <w:rPr>
          <w:iCs/>
          <w:color w:val="000000" w:themeColor="text1"/>
          <w:sz w:val="24"/>
          <w:szCs w:val="24"/>
        </w:rPr>
        <w:t>P</w:t>
      </w:r>
      <w:r w:rsidRPr="00B96CC1">
        <w:rPr>
          <w:iCs/>
          <w:color w:val="000000" w:themeColor="text1"/>
          <w:sz w:val="24"/>
          <w:szCs w:val="24"/>
        </w:rPr>
        <w:t xml:space="preserve">rojeto de </w:t>
      </w:r>
      <w:r w:rsidR="00A03FE3">
        <w:rPr>
          <w:iCs/>
          <w:color w:val="000000" w:themeColor="text1"/>
          <w:sz w:val="24"/>
          <w:szCs w:val="24"/>
        </w:rPr>
        <w:t>L</w:t>
      </w:r>
      <w:r w:rsidRPr="00B96CC1">
        <w:rPr>
          <w:iCs/>
          <w:color w:val="000000" w:themeColor="text1"/>
          <w:sz w:val="24"/>
          <w:szCs w:val="24"/>
        </w:rPr>
        <w:t xml:space="preserve">ei. </w:t>
      </w:r>
    </w:p>
    <w:p w14:paraId="793CC289" w14:textId="182040C8" w:rsidR="00B96CC1" w:rsidRPr="00B96CC1" w:rsidRDefault="00A03FE3" w:rsidP="00B96CC1">
      <w:pPr>
        <w:shd w:val="clear" w:color="auto" w:fill="FFFFFF"/>
        <w:spacing w:line="360" w:lineRule="auto"/>
        <w:ind w:firstLine="851"/>
        <w:jc w:val="both"/>
        <w:rPr>
          <w:iCs/>
          <w:color w:val="000000" w:themeColor="text1"/>
          <w:sz w:val="24"/>
          <w:szCs w:val="24"/>
        </w:rPr>
      </w:pPr>
      <w:r w:rsidRPr="00A03FE3">
        <w:rPr>
          <w:iCs/>
          <w:color w:val="000000" w:themeColor="text1"/>
          <w:sz w:val="24"/>
          <w:szCs w:val="24"/>
        </w:rPr>
        <w:t>Entretanto, objetivando aperfeiçoar a proposição de Lei, sugerimos que determinados dispositivos que implicam em ingerência às atribuições do Poder Executivo ou que dificultam a aplicabilidade do seu objetivo, sejam reparados para enquadrar-se nas normas do processo legislativo, o que somos pela sua aprovação na forma de substitutivo.</w:t>
      </w:r>
    </w:p>
    <w:bookmarkEnd w:id="1"/>
    <w:p w14:paraId="2738ECF4" w14:textId="77777777" w:rsidR="00A03FE3" w:rsidRDefault="00A03FE3" w:rsidP="005539C0">
      <w:pPr>
        <w:spacing w:line="360" w:lineRule="auto"/>
        <w:ind w:right="18"/>
        <w:jc w:val="both"/>
        <w:rPr>
          <w:rFonts w:eastAsia="Calibri"/>
          <w:b/>
          <w:sz w:val="22"/>
          <w:szCs w:val="22"/>
          <w:u w:val="single"/>
        </w:rPr>
      </w:pPr>
    </w:p>
    <w:p w14:paraId="49FC8415" w14:textId="5161925D" w:rsidR="00FF6498" w:rsidRPr="009A0F77" w:rsidRDefault="00FF6498" w:rsidP="005539C0">
      <w:pPr>
        <w:spacing w:line="360" w:lineRule="auto"/>
        <w:ind w:right="18"/>
        <w:jc w:val="both"/>
        <w:rPr>
          <w:rFonts w:eastAsia="Calibri"/>
          <w:b/>
          <w:sz w:val="22"/>
          <w:szCs w:val="22"/>
        </w:rPr>
      </w:pPr>
      <w:r w:rsidRPr="009A0F77">
        <w:rPr>
          <w:rFonts w:eastAsia="Calibri"/>
          <w:b/>
          <w:sz w:val="22"/>
          <w:szCs w:val="22"/>
          <w:u w:val="single"/>
        </w:rPr>
        <w:lastRenderedPageBreak/>
        <w:t>VOTO DO RELATOR</w:t>
      </w:r>
      <w:r w:rsidRPr="009A0F77">
        <w:rPr>
          <w:rFonts w:eastAsia="Calibri"/>
          <w:b/>
          <w:sz w:val="22"/>
          <w:szCs w:val="22"/>
        </w:rPr>
        <w:t>:</w:t>
      </w:r>
    </w:p>
    <w:p w14:paraId="49ECCD0C" w14:textId="073ACF0C" w:rsidR="00C55CF1" w:rsidRPr="009A0F77" w:rsidRDefault="00A404B7" w:rsidP="00C55CF1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9A0F7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Em face do exposto, opinamos favoravelmente pela </w:t>
      </w:r>
      <w:r w:rsidR="0041292C" w:rsidRPr="009A0F7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APROVAÇÃO</w:t>
      </w:r>
      <w:r w:rsidRPr="009A0F7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 do Projeto de Lei </w:t>
      </w:r>
      <w:r w:rsidR="00732292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                       </w:t>
      </w:r>
      <w:r w:rsidRPr="009A0F7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nº </w:t>
      </w:r>
      <w:r w:rsidR="00A03FE3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191</w:t>
      </w:r>
      <w:r w:rsidR="002F67D8" w:rsidRPr="009A0F7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/20</w:t>
      </w:r>
      <w:r w:rsidR="006A0F2B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24</w:t>
      </w:r>
      <w:r w:rsidRPr="009A0F7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, </w:t>
      </w:r>
      <w:r w:rsidR="00732292">
        <w:rPr>
          <w:rFonts w:ascii="Times New Roman" w:hAnsi="Times New Roman" w:cs="Times New Roman"/>
          <w:sz w:val="22"/>
          <w:szCs w:val="22"/>
        </w:rPr>
        <w:t>nos termos do Substitutivo anexo a este Parecer</w:t>
      </w:r>
      <w:r w:rsidR="00C55CF1" w:rsidRPr="009A0F77">
        <w:rPr>
          <w:rFonts w:ascii="Times New Roman" w:hAnsi="Times New Roman" w:cs="Times New Roman"/>
          <w:sz w:val="22"/>
          <w:szCs w:val="22"/>
        </w:rPr>
        <w:t>.</w:t>
      </w:r>
    </w:p>
    <w:p w14:paraId="1C832E09" w14:textId="77777777" w:rsidR="00C55CF1" w:rsidRPr="009A0F77" w:rsidRDefault="00C55CF1" w:rsidP="00C55CF1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9A0F77">
        <w:rPr>
          <w:rFonts w:ascii="Times New Roman" w:hAnsi="Times New Roman" w:cs="Times New Roman"/>
          <w:sz w:val="22"/>
          <w:szCs w:val="22"/>
        </w:rPr>
        <w:t>É o voto.</w:t>
      </w:r>
    </w:p>
    <w:p w14:paraId="68E6CA7A" w14:textId="77777777" w:rsidR="00AC484D" w:rsidRPr="009A0F77" w:rsidRDefault="00AC484D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  <w:u w:val="single"/>
        </w:rPr>
      </w:pPr>
    </w:p>
    <w:p w14:paraId="42F6C766" w14:textId="242CE1FF" w:rsidR="003D406A" w:rsidRPr="009A0F77" w:rsidRDefault="003D406A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</w:rPr>
      </w:pPr>
      <w:r w:rsidRPr="009A0F77">
        <w:rPr>
          <w:b/>
          <w:sz w:val="22"/>
          <w:szCs w:val="22"/>
          <w:u w:val="single"/>
        </w:rPr>
        <w:t>PARECER DA COMISSÃO</w:t>
      </w:r>
      <w:r w:rsidRPr="009A0F77">
        <w:rPr>
          <w:b/>
          <w:sz w:val="22"/>
          <w:szCs w:val="22"/>
        </w:rPr>
        <w:t>:</w:t>
      </w:r>
    </w:p>
    <w:p w14:paraId="104C7863" w14:textId="28A12396" w:rsidR="003D406A" w:rsidRPr="009A0F77" w:rsidRDefault="003D406A" w:rsidP="003D406A">
      <w:pPr>
        <w:spacing w:line="360" w:lineRule="auto"/>
        <w:ind w:firstLine="851"/>
        <w:jc w:val="both"/>
        <w:rPr>
          <w:rFonts w:eastAsia="Batang"/>
          <w:sz w:val="22"/>
          <w:szCs w:val="22"/>
        </w:rPr>
      </w:pPr>
      <w:r w:rsidRPr="009A0F77">
        <w:rPr>
          <w:rFonts w:eastAsia="Calibri"/>
          <w:sz w:val="22"/>
          <w:szCs w:val="22"/>
        </w:rPr>
        <w:t>Os membros da Comissão de Constituição, Justiça e Cidadania</w:t>
      </w:r>
      <w:r w:rsidRPr="009A0F77">
        <w:rPr>
          <w:rFonts w:eastAsia="Batang"/>
          <w:bCs/>
          <w:kern w:val="32"/>
          <w:sz w:val="22"/>
          <w:szCs w:val="22"/>
        </w:rPr>
        <w:t xml:space="preserve"> votam pela </w:t>
      </w:r>
      <w:r w:rsidRPr="009A0F77">
        <w:rPr>
          <w:rFonts w:eastAsia="Calibri"/>
          <w:b/>
          <w:sz w:val="22"/>
          <w:szCs w:val="22"/>
        </w:rPr>
        <w:t>APROVAÇÃO</w:t>
      </w:r>
      <w:r w:rsidRPr="009A0F77">
        <w:rPr>
          <w:rFonts w:eastAsia="Calibri"/>
          <w:sz w:val="22"/>
          <w:szCs w:val="22"/>
        </w:rPr>
        <w:t xml:space="preserve"> do </w:t>
      </w:r>
      <w:r w:rsidRPr="009A0F77">
        <w:rPr>
          <w:rFonts w:eastAsia="Calibri"/>
          <w:b/>
          <w:sz w:val="22"/>
          <w:szCs w:val="22"/>
        </w:rPr>
        <w:t xml:space="preserve">Projeto de Lei Ordinária nº </w:t>
      </w:r>
      <w:r w:rsidR="0027776A">
        <w:rPr>
          <w:rFonts w:eastAsia="Calibri"/>
          <w:b/>
          <w:sz w:val="22"/>
          <w:szCs w:val="22"/>
        </w:rPr>
        <w:t>1</w:t>
      </w:r>
      <w:r w:rsidR="00A03FE3">
        <w:rPr>
          <w:rFonts w:eastAsia="Calibri"/>
          <w:b/>
          <w:sz w:val="22"/>
          <w:szCs w:val="22"/>
        </w:rPr>
        <w:t>91</w:t>
      </w:r>
      <w:r w:rsidR="002F67D8" w:rsidRPr="009A0F77">
        <w:rPr>
          <w:rFonts w:eastAsia="Calibri"/>
          <w:b/>
          <w:sz w:val="22"/>
          <w:szCs w:val="22"/>
        </w:rPr>
        <w:t>/20</w:t>
      </w:r>
      <w:r w:rsidR="006A0F2B">
        <w:rPr>
          <w:rFonts w:eastAsia="Calibri"/>
          <w:b/>
          <w:sz w:val="22"/>
          <w:szCs w:val="22"/>
        </w:rPr>
        <w:t>24</w:t>
      </w:r>
      <w:r w:rsidRPr="009A0F77">
        <w:rPr>
          <w:rFonts w:eastAsia="Calibri"/>
          <w:sz w:val="22"/>
          <w:szCs w:val="22"/>
        </w:rPr>
        <w:t>, nos termos do voto do Relator.</w:t>
      </w:r>
    </w:p>
    <w:p w14:paraId="60B33538" w14:textId="77777777" w:rsidR="003D406A" w:rsidRDefault="003D406A" w:rsidP="003D406A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sz w:val="22"/>
          <w:szCs w:val="22"/>
        </w:rPr>
      </w:pPr>
      <w:r w:rsidRPr="009A0F77">
        <w:rPr>
          <w:sz w:val="22"/>
          <w:szCs w:val="22"/>
        </w:rPr>
        <w:t>É o parecer.</w:t>
      </w:r>
    </w:p>
    <w:p w14:paraId="56B35256" w14:textId="167EB6CA" w:rsidR="0027776A" w:rsidRPr="0027776A" w:rsidRDefault="0027776A" w:rsidP="0027776A">
      <w:pPr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27776A">
        <w:rPr>
          <w:rFonts w:eastAsia="Calibri"/>
          <w:sz w:val="24"/>
          <w:szCs w:val="24"/>
        </w:rPr>
        <w:t xml:space="preserve">SALA DAS COMISSÕES “DEPUTADO LÉO FRANKLIM”, em </w:t>
      </w:r>
      <w:r w:rsidR="00732292">
        <w:rPr>
          <w:rFonts w:eastAsia="Calibri"/>
          <w:sz w:val="24"/>
          <w:szCs w:val="24"/>
        </w:rPr>
        <w:t>21</w:t>
      </w:r>
      <w:r w:rsidRPr="0027776A">
        <w:rPr>
          <w:rFonts w:eastAsia="Calibri"/>
          <w:sz w:val="24"/>
          <w:szCs w:val="24"/>
        </w:rPr>
        <w:t xml:space="preserve"> de </w:t>
      </w:r>
      <w:r w:rsidR="00B96CC1">
        <w:rPr>
          <w:rFonts w:eastAsia="Calibri"/>
          <w:sz w:val="24"/>
          <w:szCs w:val="24"/>
        </w:rPr>
        <w:t>maio</w:t>
      </w:r>
      <w:r w:rsidRPr="0027776A">
        <w:rPr>
          <w:rFonts w:eastAsia="Calibri"/>
          <w:sz w:val="24"/>
          <w:szCs w:val="24"/>
        </w:rPr>
        <w:t xml:space="preserve"> de 2024.  </w:t>
      </w:r>
    </w:p>
    <w:p w14:paraId="6B312745" w14:textId="77777777" w:rsidR="00806D6F" w:rsidRPr="00806D6F" w:rsidRDefault="0027776A" w:rsidP="00806D6F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7776A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06D6F" w:rsidRPr="00806D6F">
        <w:rPr>
          <w:rFonts w:eastAsia="Calibri"/>
          <w:b/>
          <w:color w:val="000000"/>
          <w:sz w:val="22"/>
          <w:szCs w:val="22"/>
          <w:lang w:eastAsia="en-US"/>
        </w:rPr>
        <w:t>Presidente:</w:t>
      </w:r>
      <w:r w:rsidR="00806D6F" w:rsidRPr="00806D6F">
        <w:rPr>
          <w:rFonts w:eastAsia="Calibri"/>
          <w:color w:val="000000"/>
          <w:sz w:val="22"/>
          <w:szCs w:val="22"/>
          <w:lang w:eastAsia="en-US"/>
        </w:rPr>
        <w:t xml:space="preserve"> Deputado Neto Evangelista</w:t>
      </w:r>
    </w:p>
    <w:p w14:paraId="57BC6D4A" w14:textId="77777777" w:rsidR="00806D6F" w:rsidRPr="00806D6F" w:rsidRDefault="00806D6F" w:rsidP="00806D6F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2B98706" w14:textId="3B449396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06D6F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                 </w:t>
      </w:r>
      <w:r w:rsidRPr="00806D6F">
        <w:rPr>
          <w:rFonts w:eastAsia="Calibri"/>
          <w:b/>
          <w:color w:val="000000"/>
          <w:sz w:val="22"/>
          <w:szCs w:val="22"/>
          <w:lang w:eastAsia="en-US"/>
        </w:rPr>
        <w:t>Relator:</w:t>
      </w:r>
      <w:r w:rsidRPr="00806D6F">
        <w:rPr>
          <w:rFonts w:eastAsia="Calibri"/>
          <w:color w:val="000000"/>
          <w:sz w:val="22"/>
          <w:szCs w:val="22"/>
          <w:lang w:eastAsia="en-US"/>
        </w:rPr>
        <w:t xml:space="preserve"> Deputado </w:t>
      </w:r>
      <w:r>
        <w:rPr>
          <w:rFonts w:eastAsia="Calibri"/>
          <w:color w:val="000000"/>
          <w:sz w:val="22"/>
          <w:szCs w:val="22"/>
          <w:lang w:eastAsia="en-US"/>
        </w:rPr>
        <w:t>Davi Brandão</w:t>
      </w:r>
    </w:p>
    <w:p w14:paraId="527DD489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04F6037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806D6F">
        <w:rPr>
          <w:rFonts w:eastAsia="Calibri"/>
          <w:b/>
          <w:color w:val="000000"/>
          <w:sz w:val="22"/>
          <w:szCs w:val="22"/>
          <w:lang w:eastAsia="en-US"/>
        </w:rPr>
        <w:t>Vota a favor:                                                                   Vota contra:</w:t>
      </w:r>
    </w:p>
    <w:p w14:paraId="402AECA8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06D6F">
        <w:rPr>
          <w:rFonts w:eastAsia="Calibri"/>
          <w:color w:val="000000"/>
          <w:sz w:val="22"/>
          <w:szCs w:val="22"/>
          <w:lang w:eastAsia="en-US"/>
        </w:rPr>
        <w:t>Deputado Wellington do Curso                                       _________________________</w:t>
      </w:r>
    </w:p>
    <w:p w14:paraId="4139890C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06D6F">
        <w:rPr>
          <w:rFonts w:eastAsia="Calibri"/>
          <w:color w:val="000000"/>
          <w:sz w:val="22"/>
          <w:szCs w:val="22"/>
          <w:lang w:eastAsia="en-US"/>
        </w:rPr>
        <w:t>Deputado Florêncio Neto                                                 _________________________</w:t>
      </w:r>
    </w:p>
    <w:p w14:paraId="574B747D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06D6F">
        <w:rPr>
          <w:rFonts w:eastAsia="Calibri"/>
          <w:color w:val="000000"/>
          <w:sz w:val="22"/>
          <w:szCs w:val="22"/>
          <w:lang w:eastAsia="en-US"/>
        </w:rPr>
        <w:t>__________________________                                      _________________________</w:t>
      </w:r>
    </w:p>
    <w:p w14:paraId="04C0C52B" w14:textId="77777777" w:rsidR="00806D6F" w:rsidRPr="00806D6F" w:rsidRDefault="00806D6F" w:rsidP="00806D6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06D6F">
        <w:rPr>
          <w:rFonts w:eastAsia="Calibri"/>
          <w:color w:val="000000"/>
          <w:sz w:val="22"/>
          <w:szCs w:val="22"/>
          <w:lang w:eastAsia="en-US"/>
        </w:rPr>
        <w:t>__________________________                                      _________________________</w:t>
      </w:r>
    </w:p>
    <w:p w14:paraId="7848C04E" w14:textId="7258A95B" w:rsidR="0027776A" w:rsidRDefault="0027776A" w:rsidP="00806D6F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5E8B1884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26F297B5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3A14D09F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10CCD177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5591DB25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72B854A1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4FC2E4CE" w14:textId="77777777" w:rsidR="00732292" w:rsidRDefault="00732292" w:rsidP="009A4704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  <w:sz w:val="24"/>
          <w:szCs w:val="24"/>
        </w:rPr>
      </w:pPr>
    </w:p>
    <w:p w14:paraId="1B68F1B9" w14:textId="049E3F1A" w:rsidR="00732292" w:rsidRDefault="00732292" w:rsidP="00732292">
      <w:pPr>
        <w:spacing w:after="200"/>
        <w:jc w:val="center"/>
        <w:rPr>
          <w:rFonts w:eastAsia="Book Antiqua"/>
          <w:b/>
          <w:sz w:val="24"/>
          <w:szCs w:val="24"/>
          <w:lang w:eastAsia="en-US"/>
        </w:rPr>
      </w:pPr>
      <w:r>
        <w:rPr>
          <w:rFonts w:eastAsia="Book Antiqua"/>
          <w:b/>
          <w:sz w:val="24"/>
          <w:szCs w:val="24"/>
          <w:lang w:eastAsia="en-US"/>
        </w:rPr>
        <w:t xml:space="preserve">SUBSTITUTIVO AO </w:t>
      </w:r>
      <w:r w:rsidRPr="00732292">
        <w:rPr>
          <w:rFonts w:eastAsia="Book Antiqua"/>
          <w:b/>
          <w:sz w:val="24"/>
          <w:szCs w:val="24"/>
          <w:lang w:eastAsia="en-US"/>
        </w:rPr>
        <w:t xml:space="preserve">PROJETO DE LEI Nº </w:t>
      </w:r>
      <w:r w:rsidR="00A03FE3">
        <w:rPr>
          <w:rFonts w:eastAsia="Book Antiqua"/>
          <w:b/>
          <w:sz w:val="24"/>
          <w:szCs w:val="24"/>
          <w:lang w:eastAsia="en-US"/>
        </w:rPr>
        <w:t>191</w:t>
      </w:r>
      <w:r>
        <w:rPr>
          <w:rFonts w:eastAsia="Book Antiqua"/>
          <w:b/>
          <w:sz w:val="24"/>
          <w:szCs w:val="24"/>
          <w:lang w:eastAsia="en-US"/>
        </w:rPr>
        <w:t>/2024</w:t>
      </w:r>
    </w:p>
    <w:p w14:paraId="2411029F" w14:textId="736E1071" w:rsidR="00A03FE3" w:rsidRPr="00A03FE3" w:rsidRDefault="00A03FE3" w:rsidP="00A03FE3">
      <w:pPr>
        <w:spacing w:line="242" w:lineRule="auto"/>
        <w:ind w:left="4253" w:right="3" w:hanging="1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  <w:r w:rsidRPr="00A03FE3">
        <w:rPr>
          <w:bCs/>
          <w:color w:val="000000"/>
          <w:kern w:val="2"/>
          <w:sz w:val="24"/>
          <w:szCs w:val="24"/>
          <w14:ligatures w14:val="standardContextual"/>
        </w:rPr>
        <w:t xml:space="preserve">Institui </w:t>
      </w:r>
      <w:r>
        <w:rPr>
          <w:bCs/>
          <w:color w:val="000000"/>
          <w:kern w:val="2"/>
          <w:sz w:val="24"/>
          <w:szCs w:val="24"/>
          <w14:ligatures w14:val="standardContextual"/>
        </w:rPr>
        <w:t>as diretrizes da Política d</w:t>
      </w:r>
      <w:r w:rsidRPr="00A03FE3">
        <w:rPr>
          <w:bCs/>
          <w:color w:val="000000"/>
          <w:kern w:val="2"/>
          <w:sz w:val="24"/>
          <w:szCs w:val="24"/>
          <w14:ligatures w14:val="standardContextual"/>
        </w:rPr>
        <w:t xml:space="preserve">e Atenção ao Diagnóstico de Autismo </w:t>
      </w:r>
      <w:r>
        <w:rPr>
          <w:bCs/>
          <w:color w:val="000000"/>
          <w:kern w:val="2"/>
          <w:sz w:val="24"/>
          <w:szCs w:val="24"/>
          <w14:ligatures w14:val="standardContextual"/>
        </w:rPr>
        <w:t>e</w:t>
      </w:r>
      <w:r w:rsidRPr="00A03FE3">
        <w:rPr>
          <w:bCs/>
          <w:color w:val="000000"/>
          <w:kern w:val="2"/>
          <w:sz w:val="24"/>
          <w:szCs w:val="24"/>
          <w14:ligatures w14:val="standardContextual"/>
        </w:rPr>
        <w:t xml:space="preserve"> Intervenção Precoce no Estado, e dá outras providências. </w:t>
      </w:r>
    </w:p>
    <w:p w14:paraId="3B9E44C3" w14:textId="77777777" w:rsidR="00A03FE3" w:rsidRPr="00A03FE3" w:rsidRDefault="00A03FE3" w:rsidP="00A03FE3">
      <w:pPr>
        <w:spacing w:line="259" w:lineRule="auto"/>
        <w:ind w:left="1765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6"/>
          <w:szCs w:val="22"/>
          <w14:ligatures w14:val="standardContextual"/>
        </w:rPr>
        <w:t xml:space="preserve"> </w:t>
      </w:r>
    </w:p>
    <w:p w14:paraId="1FD3F2EA" w14:textId="6079BF2D" w:rsidR="00A03FE3" w:rsidRPr="00A03FE3" w:rsidRDefault="00A03FE3" w:rsidP="00A03FE3">
      <w:pPr>
        <w:spacing w:line="259" w:lineRule="auto"/>
        <w:ind w:left="1765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211ABA79" w14:textId="0E0CE129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1º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- Fica</w:t>
      </w:r>
      <w:r w:rsidR="00610C00">
        <w:rPr>
          <w:color w:val="000000"/>
          <w:kern w:val="2"/>
          <w:sz w:val="24"/>
          <w:szCs w:val="22"/>
          <w14:ligatures w14:val="standardContextual"/>
        </w:rPr>
        <w:t>m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instituíd</w:t>
      </w:r>
      <w:r w:rsidR="00610C00">
        <w:rPr>
          <w:color w:val="000000"/>
          <w:kern w:val="2"/>
          <w:sz w:val="24"/>
          <w:szCs w:val="22"/>
          <w14:ligatures w14:val="standardContextual"/>
        </w:rPr>
        <w:t>as as diretrizes da Política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de Atenção ao Diagnóstico de Autismo e Intervenção Precoce no Estado, visando a implantação dos melhores protocolos disponíveis, adotados junto às Unidades Básicas de Saúde - Atenção Primária - para assegurar as melhores chances de rastreio de atrasos do desenvolvimento, acesso à intervenção precoce e diagnóstico às crianças.  </w:t>
      </w:r>
    </w:p>
    <w:p w14:paraId="19708807" w14:textId="77777777" w:rsidR="00A03FE3" w:rsidRPr="00A03FE3" w:rsidRDefault="00A03FE3" w:rsidP="00A03FE3">
      <w:pPr>
        <w:spacing w:after="112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0D1F46BE" w14:textId="51D498EA" w:rsidR="00A03FE3" w:rsidRPr="00A03FE3" w:rsidRDefault="00A03FE3" w:rsidP="00A03FE3">
      <w:pPr>
        <w:spacing w:after="115" w:line="259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2º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- São objetivos </w:t>
      </w:r>
      <w:r w:rsidR="00610C00">
        <w:rPr>
          <w:color w:val="000000"/>
          <w:kern w:val="2"/>
          <w:sz w:val="24"/>
          <w:szCs w:val="22"/>
          <w14:ligatures w14:val="standardContextual"/>
        </w:rPr>
        <w:t>da Política de que trata a presente Lei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:  </w:t>
      </w:r>
    </w:p>
    <w:p w14:paraId="03E9A478" w14:textId="77777777" w:rsidR="00A03FE3" w:rsidRPr="00A03FE3" w:rsidRDefault="00A03FE3" w:rsidP="00A03FE3">
      <w:pPr>
        <w:spacing w:after="113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355740F9" w14:textId="77777777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I 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– Disponibilização de informação e ferramentas para que pais, família extensa e cuidadores das crianças possam acompanhar os marcos do desenvolvimento esperados para cada idade, baseados nas melhores práticas clínicas e científicas disponíveis sobre o assunto; </w:t>
      </w:r>
    </w:p>
    <w:p w14:paraId="6F645ED4" w14:textId="77777777" w:rsidR="00A03FE3" w:rsidRPr="00A03FE3" w:rsidRDefault="00A03FE3" w:rsidP="00A03FE3">
      <w:pPr>
        <w:spacing w:after="116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7896EB11" w14:textId="77777777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II–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Ofertar, através das Unidades Básicas de Saúde – Atenção Primária -, a análise dos casos em que observar-se atraso nos marcos do desenvolvimento e direcionamento para as intervenções precoces, com protocolos baseados nas melhores práticas clínicas e científicas disponíveis sobre o assunto independente de um diagnóstico fechado por neuropediatra;  </w:t>
      </w:r>
    </w:p>
    <w:p w14:paraId="50C4D559" w14:textId="77777777" w:rsidR="00A03FE3" w:rsidRPr="00A03FE3" w:rsidRDefault="00A03FE3" w:rsidP="00A03FE3">
      <w:pPr>
        <w:spacing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2A39A002" w14:textId="2DD96DD7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3º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- Será disponibilizada, junto às UBS (Unidades Básicas de Saúde), a Cartilha de Marcos de Desenvolvimento, que conterá:  </w:t>
      </w:r>
    </w:p>
    <w:p w14:paraId="7FBC3D0C" w14:textId="77777777" w:rsidR="00A03FE3" w:rsidRPr="00A03FE3" w:rsidRDefault="00A03FE3" w:rsidP="00A03FE3">
      <w:pPr>
        <w:spacing w:after="116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670179AE" w14:textId="0D15DC1E" w:rsidR="00A03FE3" w:rsidRPr="00A03FE3" w:rsidRDefault="00A03FE3" w:rsidP="00610C00">
      <w:pPr>
        <w:numPr>
          <w:ilvl w:val="0"/>
          <w:numId w:val="2"/>
        </w:numPr>
        <w:spacing w:after="116" w:line="259" w:lineRule="auto"/>
        <w:ind w:left="0" w:firstLine="1103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– Os marcos esperados para cada idade;   </w:t>
      </w:r>
    </w:p>
    <w:p w14:paraId="008CB3FB" w14:textId="5EDDEECB" w:rsidR="00A03FE3" w:rsidRPr="00A03FE3" w:rsidRDefault="00A03FE3" w:rsidP="00610C00">
      <w:pPr>
        <w:numPr>
          <w:ilvl w:val="0"/>
          <w:numId w:val="2"/>
        </w:numPr>
        <w:spacing w:after="116" w:line="259" w:lineRule="auto"/>
        <w:ind w:left="0" w:firstLine="1103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– Elucidação do que se considera atraso para que a criança atinja tal marco;  </w:t>
      </w:r>
    </w:p>
    <w:p w14:paraId="30E14E38" w14:textId="77777777" w:rsidR="00A03FE3" w:rsidRPr="00A03FE3" w:rsidRDefault="00A03FE3" w:rsidP="00610C00">
      <w:pPr>
        <w:numPr>
          <w:ilvl w:val="0"/>
          <w:numId w:val="2"/>
        </w:numPr>
        <w:spacing w:after="1" w:line="357" w:lineRule="auto"/>
        <w:ind w:left="0" w:firstLine="1103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– Indicação de que os pais, observando o atraso, busquem as Unidades Básicas de Saúde – Atenção Primária para que sejam encaminhados para intervenção precoce, tudo pautado em protocolos que contemplem as melhores práticas clínicas e científicas disponíveis sobre o assunto;  </w:t>
      </w:r>
    </w:p>
    <w:p w14:paraId="4E82905D" w14:textId="77777777" w:rsidR="00A03FE3" w:rsidRPr="00A03FE3" w:rsidRDefault="00A03FE3" w:rsidP="00A03FE3">
      <w:pPr>
        <w:spacing w:after="112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01E912D9" w14:textId="30AE42C5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4º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- O </w:t>
      </w:r>
      <w:r w:rsidR="00610C00">
        <w:rPr>
          <w:color w:val="000000"/>
          <w:kern w:val="2"/>
          <w:sz w:val="24"/>
          <w:szCs w:val="22"/>
          <w14:ligatures w14:val="standardContextual"/>
        </w:rPr>
        <w:t>Poder Público poderá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realizar parcerias público privadas com Instituições de Ensino e Pesquisa para fornecimento do material técnico para subsidiar a confecção das Cartilhas, bem como os protocolos de intervenção precoce nas unidades de saúde, baseados nas melhores práticas clínicas e científicas disponíveis sobre o assunto; </w:t>
      </w:r>
    </w:p>
    <w:p w14:paraId="6584BC89" w14:textId="77777777" w:rsidR="00A03FE3" w:rsidRPr="00A03FE3" w:rsidRDefault="00A03FE3" w:rsidP="00A03FE3">
      <w:pPr>
        <w:spacing w:after="112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6A2E17D3" w14:textId="32F07B17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5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º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- O </w:t>
      </w:r>
      <w:r w:rsidR="00610C00">
        <w:rPr>
          <w:color w:val="000000"/>
          <w:kern w:val="2"/>
          <w:sz w:val="24"/>
          <w:szCs w:val="22"/>
          <w14:ligatures w14:val="standardContextual"/>
        </w:rPr>
        <w:t>Poder Público estadual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ampliará a oferta de serviços de saúde multidisciplinares, tais quais fonoaudiologia, terapia ocupacional, psicologia, mas não se limitando a esses, focados em intervenção precoce baseados nas melhores práticas clínicas e científicas disponíveis sobre o assunto, via concursos públicos ou </w:t>
      </w:r>
      <w:proofErr w:type="gramStart"/>
      <w:r w:rsidRPr="00A03FE3">
        <w:rPr>
          <w:color w:val="000000"/>
          <w:kern w:val="2"/>
          <w:sz w:val="24"/>
          <w:szCs w:val="22"/>
          <w14:ligatures w14:val="standardContextual"/>
        </w:rPr>
        <w:t>parcerias público</w:t>
      </w:r>
      <w:r w:rsidR="00610C00">
        <w:rPr>
          <w:color w:val="000000"/>
          <w:kern w:val="2"/>
          <w:sz w:val="24"/>
          <w:szCs w:val="22"/>
          <w14:ligatures w14:val="standardContextual"/>
        </w:rPr>
        <w:t>s</w:t>
      </w:r>
      <w:proofErr w:type="gramEnd"/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privadas, dando-se preferências aos profissionais que estejam em lista de espera aguardando para serem convocados em concursos que já se findaram;  </w:t>
      </w:r>
    </w:p>
    <w:p w14:paraId="0554EF38" w14:textId="77777777" w:rsidR="00A03FE3" w:rsidRPr="00A03FE3" w:rsidRDefault="00A03FE3" w:rsidP="00A03FE3">
      <w:pPr>
        <w:spacing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2669EA99" w14:textId="4BCC746C" w:rsidR="00A03FE3" w:rsidRPr="00A03FE3" w:rsidRDefault="00A03FE3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6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º -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Serão destacados profissionais que já integram a rede pública e desejem trabalhar com intervenção precoce, baseados nas melhores práticas clínicas e científicas disponíveis sobre o assunto, de modo que será ofertado treinamento adequado para os mesmos;  </w:t>
      </w:r>
    </w:p>
    <w:p w14:paraId="4859AC59" w14:textId="77777777" w:rsidR="00A03FE3" w:rsidRPr="00A03FE3" w:rsidRDefault="00A03FE3" w:rsidP="00A03FE3">
      <w:pPr>
        <w:spacing w:after="115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79A4FC08" w14:textId="7B329D18" w:rsidR="00A03FE3" w:rsidRPr="00A03FE3" w:rsidRDefault="00610C00" w:rsidP="00A03FE3">
      <w:pPr>
        <w:spacing w:after="1" w:line="357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b/>
          <w:color w:val="000000"/>
          <w:kern w:val="2"/>
          <w:sz w:val="24"/>
          <w:szCs w:val="22"/>
          <w14:ligatures w14:val="standardContextual"/>
        </w:rPr>
        <w:t>A</w:t>
      </w:r>
      <w:r w:rsidR="00A03FE3" w:rsidRPr="00A03FE3">
        <w:rPr>
          <w:b/>
          <w:color w:val="000000"/>
          <w:kern w:val="2"/>
          <w:sz w:val="24"/>
          <w:szCs w:val="22"/>
          <w14:ligatures w14:val="standardContextual"/>
        </w:rPr>
        <w:t>rt</w:t>
      </w:r>
      <w:r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="00A03FE3"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</w:t>
      </w:r>
      <w:r>
        <w:rPr>
          <w:b/>
          <w:color w:val="000000"/>
          <w:kern w:val="2"/>
          <w:sz w:val="24"/>
          <w:szCs w:val="22"/>
          <w14:ligatures w14:val="standardContextual"/>
        </w:rPr>
        <w:t>7</w:t>
      </w:r>
      <w:r w:rsidR="00A03FE3" w:rsidRPr="00A03FE3">
        <w:rPr>
          <w:b/>
          <w:color w:val="000000"/>
          <w:kern w:val="2"/>
          <w:sz w:val="24"/>
          <w:szCs w:val="22"/>
          <w14:ligatures w14:val="standardContextual"/>
        </w:rPr>
        <w:t>º -</w:t>
      </w:r>
      <w:r w:rsidR="00A03FE3" w:rsidRPr="00A03FE3">
        <w:rPr>
          <w:color w:val="000000"/>
          <w:kern w:val="2"/>
          <w:sz w:val="24"/>
          <w:szCs w:val="22"/>
          <w14:ligatures w14:val="standardContextual"/>
        </w:rPr>
        <w:t xml:space="preserve"> Os recursos para a execução desta Lei correrão por dotações próprias, suplementadas se necessário.  </w:t>
      </w:r>
    </w:p>
    <w:p w14:paraId="4965C8B3" w14:textId="77777777" w:rsidR="00A03FE3" w:rsidRPr="00A03FE3" w:rsidRDefault="00A03FE3" w:rsidP="00A03FE3">
      <w:pPr>
        <w:spacing w:after="115" w:line="259" w:lineRule="auto"/>
        <w:ind w:firstLine="856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</w:t>
      </w:r>
    </w:p>
    <w:p w14:paraId="60D1565D" w14:textId="2FF60357" w:rsidR="00A03FE3" w:rsidRPr="00A03FE3" w:rsidRDefault="00A03FE3" w:rsidP="00A03FE3">
      <w:pPr>
        <w:spacing w:after="112" w:line="259" w:lineRule="auto"/>
        <w:ind w:left="-5" w:firstLine="85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Art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.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 xml:space="preserve"> </w:t>
      </w:r>
      <w:r w:rsidR="00610C00">
        <w:rPr>
          <w:b/>
          <w:color w:val="000000"/>
          <w:kern w:val="2"/>
          <w:sz w:val="24"/>
          <w:szCs w:val="22"/>
          <w14:ligatures w14:val="standardContextual"/>
        </w:rPr>
        <w:t>8</w:t>
      </w:r>
      <w:r w:rsidRPr="00A03FE3">
        <w:rPr>
          <w:b/>
          <w:color w:val="000000"/>
          <w:kern w:val="2"/>
          <w:sz w:val="24"/>
          <w:szCs w:val="22"/>
          <w14:ligatures w14:val="standardContextual"/>
        </w:rPr>
        <w:t>º -</w:t>
      </w:r>
      <w:r w:rsidRPr="00A03FE3">
        <w:rPr>
          <w:color w:val="000000"/>
          <w:kern w:val="2"/>
          <w:sz w:val="24"/>
          <w:szCs w:val="22"/>
          <w14:ligatures w14:val="standardContextual"/>
        </w:rPr>
        <w:t xml:space="preserve"> Esta Lei entra em vigor na data da publicação. </w:t>
      </w:r>
    </w:p>
    <w:bookmarkEnd w:id="0"/>
    <w:p w14:paraId="2248987B" w14:textId="77777777" w:rsidR="00A03FE3" w:rsidRPr="00732292" w:rsidRDefault="00A03FE3" w:rsidP="00A03FE3">
      <w:pPr>
        <w:spacing w:after="200"/>
        <w:ind w:firstLine="856"/>
        <w:jc w:val="center"/>
        <w:rPr>
          <w:rFonts w:eastAsia="Book Antiqua"/>
          <w:b/>
          <w:sz w:val="24"/>
          <w:szCs w:val="24"/>
          <w:lang w:eastAsia="en-US"/>
        </w:rPr>
      </w:pPr>
    </w:p>
    <w:p w14:paraId="178B2EC9" w14:textId="77777777" w:rsidR="00A03FE3" w:rsidRPr="00732292" w:rsidRDefault="00A03FE3">
      <w:pPr>
        <w:spacing w:after="200"/>
        <w:ind w:firstLine="856"/>
        <w:jc w:val="center"/>
        <w:rPr>
          <w:rFonts w:eastAsia="Book Antiqua"/>
          <w:b/>
          <w:sz w:val="24"/>
          <w:szCs w:val="24"/>
          <w:lang w:eastAsia="en-US"/>
        </w:rPr>
      </w:pPr>
    </w:p>
    <w:sectPr w:rsidR="00A03FE3" w:rsidRPr="00732292" w:rsidSect="006A0F2B">
      <w:headerReference w:type="default" r:id="rId8"/>
      <w:pgSz w:w="11906" w:h="16838"/>
      <w:pgMar w:top="1417" w:right="99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7A46E" w14:textId="77777777" w:rsidR="00DD34FB" w:rsidRDefault="00FF6498">
      <w:r>
        <w:separator/>
      </w:r>
    </w:p>
  </w:endnote>
  <w:endnote w:type="continuationSeparator" w:id="0">
    <w:p w14:paraId="6FF6EF8A" w14:textId="77777777" w:rsidR="00DD34FB" w:rsidRDefault="00FF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4555" w14:textId="77777777" w:rsidR="00DD34FB" w:rsidRDefault="00FF6498">
      <w:r>
        <w:separator/>
      </w:r>
    </w:p>
  </w:footnote>
  <w:footnote w:type="continuationSeparator" w:id="0">
    <w:p w14:paraId="1417277D" w14:textId="77777777" w:rsidR="00DD34FB" w:rsidRDefault="00FF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DFC27" w14:textId="77777777" w:rsidR="00FF6498" w:rsidRPr="0052305E" w:rsidRDefault="00FF6498" w:rsidP="00FF6498">
    <w:pPr>
      <w:tabs>
        <w:tab w:val="center" w:pos="4252"/>
        <w:tab w:val="right" w:pos="8504"/>
      </w:tabs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52305E">
      <w:rPr>
        <w:rFonts w:ascii="Calibri" w:eastAsia="Calibri" w:hAnsi="Calibri"/>
        <w:noProof/>
        <w:sz w:val="18"/>
        <w:szCs w:val="18"/>
      </w:rPr>
      <w:drawing>
        <wp:inline distT="0" distB="0" distL="0" distR="0" wp14:anchorId="26C64CE1" wp14:editId="20800B6A">
          <wp:extent cx="942975" cy="819150"/>
          <wp:effectExtent l="0" t="0" r="9525" b="0"/>
          <wp:docPr id="2026484375" name="Imagem 202648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F5A7A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ESTADO DO MARANHÃO</w:t>
    </w:r>
  </w:p>
  <w:p w14:paraId="19BEF355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ASSEMBLEIA LEGISLATIVA DO MARANHÃO</w:t>
    </w:r>
  </w:p>
  <w:p w14:paraId="4D89C4D7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INSTALADA EM 16 DE FEVEREIRO DE 1835</w:t>
    </w:r>
  </w:p>
  <w:p w14:paraId="39515874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DIRETORIA LEGISLATIVA</w:t>
    </w:r>
  </w:p>
  <w:p w14:paraId="00BB26A6" w14:textId="77777777" w:rsidR="00FF6498" w:rsidRDefault="00FF6498" w:rsidP="00FF6498">
    <w:pPr>
      <w:pStyle w:val="Cabealho"/>
    </w:pPr>
  </w:p>
  <w:p w14:paraId="2E687DFC" w14:textId="77777777" w:rsidR="001E1CA1" w:rsidRDefault="001E1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C3790"/>
    <w:multiLevelType w:val="hybridMultilevel"/>
    <w:tmpl w:val="1F985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0AE2"/>
    <w:multiLevelType w:val="hybridMultilevel"/>
    <w:tmpl w:val="6C22D79C"/>
    <w:lvl w:ilvl="0" w:tplc="265608C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9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7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9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D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6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0399255">
    <w:abstractNumId w:val="0"/>
  </w:num>
  <w:num w:numId="2" w16cid:durableId="197617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60"/>
    <w:rsid w:val="000214BF"/>
    <w:rsid w:val="000C522A"/>
    <w:rsid w:val="000D261B"/>
    <w:rsid w:val="000E2E35"/>
    <w:rsid w:val="00122DC8"/>
    <w:rsid w:val="00125B74"/>
    <w:rsid w:val="00137B7F"/>
    <w:rsid w:val="00141F90"/>
    <w:rsid w:val="001E1CA1"/>
    <w:rsid w:val="00257AEA"/>
    <w:rsid w:val="0027776A"/>
    <w:rsid w:val="00293ABE"/>
    <w:rsid w:val="002A5FE0"/>
    <w:rsid w:val="002F67D8"/>
    <w:rsid w:val="00325925"/>
    <w:rsid w:val="003D406A"/>
    <w:rsid w:val="0041292C"/>
    <w:rsid w:val="004708AE"/>
    <w:rsid w:val="00477751"/>
    <w:rsid w:val="00486466"/>
    <w:rsid w:val="004A11CE"/>
    <w:rsid w:val="004B6D43"/>
    <w:rsid w:val="004C0E60"/>
    <w:rsid w:val="004C4364"/>
    <w:rsid w:val="004F7AB3"/>
    <w:rsid w:val="00520867"/>
    <w:rsid w:val="005539C0"/>
    <w:rsid w:val="005C2796"/>
    <w:rsid w:val="00610C00"/>
    <w:rsid w:val="00651A3F"/>
    <w:rsid w:val="00695E14"/>
    <w:rsid w:val="006A0F2B"/>
    <w:rsid w:val="00703365"/>
    <w:rsid w:val="00732292"/>
    <w:rsid w:val="00760DF0"/>
    <w:rsid w:val="00777BEE"/>
    <w:rsid w:val="007A2ED0"/>
    <w:rsid w:val="007B6356"/>
    <w:rsid w:val="007C1E54"/>
    <w:rsid w:val="007C6423"/>
    <w:rsid w:val="007F5A03"/>
    <w:rsid w:val="00806D6F"/>
    <w:rsid w:val="0083463B"/>
    <w:rsid w:val="0087756A"/>
    <w:rsid w:val="00885E76"/>
    <w:rsid w:val="008A380D"/>
    <w:rsid w:val="008A7D48"/>
    <w:rsid w:val="008F3428"/>
    <w:rsid w:val="009759D4"/>
    <w:rsid w:val="009A0F77"/>
    <w:rsid w:val="009A4704"/>
    <w:rsid w:val="009B0986"/>
    <w:rsid w:val="009C161F"/>
    <w:rsid w:val="009C5A4D"/>
    <w:rsid w:val="009C5C91"/>
    <w:rsid w:val="009C69C4"/>
    <w:rsid w:val="00A018F2"/>
    <w:rsid w:val="00A03FE3"/>
    <w:rsid w:val="00A16471"/>
    <w:rsid w:val="00A21384"/>
    <w:rsid w:val="00A276B9"/>
    <w:rsid w:val="00A404B7"/>
    <w:rsid w:val="00AB0E0B"/>
    <w:rsid w:val="00AC484D"/>
    <w:rsid w:val="00AE68B3"/>
    <w:rsid w:val="00B102D1"/>
    <w:rsid w:val="00B31B75"/>
    <w:rsid w:val="00B425BE"/>
    <w:rsid w:val="00B752D0"/>
    <w:rsid w:val="00B96CC1"/>
    <w:rsid w:val="00C30FF7"/>
    <w:rsid w:val="00C36B49"/>
    <w:rsid w:val="00C42311"/>
    <w:rsid w:val="00C55CF1"/>
    <w:rsid w:val="00C65289"/>
    <w:rsid w:val="00C7717E"/>
    <w:rsid w:val="00C81933"/>
    <w:rsid w:val="00CB68F6"/>
    <w:rsid w:val="00D2444A"/>
    <w:rsid w:val="00D316CC"/>
    <w:rsid w:val="00D71A62"/>
    <w:rsid w:val="00DD34FB"/>
    <w:rsid w:val="00DF0D86"/>
    <w:rsid w:val="00E3124D"/>
    <w:rsid w:val="00E669CB"/>
    <w:rsid w:val="00E73B0E"/>
    <w:rsid w:val="00E83D37"/>
    <w:rsid w:val="00E91966"/>
    <w:rsid w:val="00F42DB9"/>
    <w:rsid w:val="00F66515"/>
    <w:rsid w:val="00F862A9"/>
    <w:rsid w:val="00F907C9"/>
    <w:rsid w:val="00FF5E60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5673B7C"/>
  <w15:chartTrackingRefBased/>
  <w15:docId w15:val="{7E7F885B-C6F6-4413-A862-0AE45AE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4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498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6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4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F6498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6498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nhideWhenUsed/>
    <w:rsid w:val="00AB0E0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B0E0B"/>
    <w:rPr>
      <w:rFonts w:ascii="Arial (W1)" w:hAnsi="Arial (W1)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0E0B"/>
    <w:rPr>
      <w:rFonts w:ascii="Arial (W1)" w:eastAsia="Times New Roman" w:hAnsi="Arial (W1)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AB0E0B"/>
    <w:rPr>
      <w:vertAlign w:val="superscript"/>
    </w:rPr>
  </w:style>
  <w:style w:type="paragraph" w:styleId="SemEspaamento">
    <w:name w:val="No Spacing"/>
    <w:uiPriority w:val="1"/>
    <w:qFormat/>
    <w:rsid w:val="00F66515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4C4364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character" w:customStyle="1" w:styleId="texto">
    <w:name w:val="texto"/>
    <w:basedOn w:val="Fontepargpadro"/>
    <w:rsid w:val="00C55CF1"/>
  </w:style>
  <w:style w:type="character" w:styleId="MenoPendente">
    <w:name w:val="Unresolved Mention"/>
    <w:basedOn w:val="Fontepargpadro"/>
    <w:uiPriority w:val="99"/>
    <w:semiHidden/>
    <w:unhideWhenUsed/>
    <w:rsid w:val="00B96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mg.gov.br/consulte/legislacao/index.html?aba=js_tabConstituicaoEstadual&amp;tipoPesquisa=constituicaoEstadual&amp;ceArtigo=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bruno rodrigues diniz</dc:creator>
  <cp:keywords/>
  <dc:description/>
  <cp:lastModifiedBy>Máneton Antunes de Macedo</cp:lastModifiedBy>
  <cp:revision>2</cp:revision>
  <cp:lastPrinted>2024-05-16T18:31:00Z</cp:lastPrinted>
  <dcterms:created xsi:type="dcterms:W3CDTF">2024-05-21T18:13:00Z</dcterms:created>
  <dcterms:modified xsi:type="dcterms:W3CDTF">2024-05-21T18:13:00Z</dcterms:modified>
</cp:coreProperties>
</file>