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F2C9" w14:textId="77777777" w:rsidR="00FF6498" w:rsidRPr="00E669CB" w:rsidRDefault="00FF6498" w:rsidP="00FF6498">
      <w:pPr>
        <w:spacing w:line="360" w:lineRule="auto"/>
        <w:jc w:val="center"/>
        <w:rPr>
          <w:rFonts w:eastAsia="Calibri"/>
          <w:b/>
          <w:sz w:val="22"/>
          <w:szCs w:val="22"/>
          <w:u w:val="single"/>
        </w:rPr>
      </w:pPr>
      <w:bookmarkStart w:id="0" w:name="_Hlk45179889"/>
      <w:r w:rsidRPr="00E669CB">
        <w:rPr>
          <w:rFonts w:eastAsia="Calibri"/>
          <w:b/>
          <w:sz w:val="22"/>
          <w:szCs w:val="22"/>
          <w:u w:val="single"/>
        </w:rPr>
        <w:t>COMISSÃO DE CONSTITUIÇÃO, JUSTIÇA E CIDADANIA</w:t>
      </w:r>
    </w:p>
    <w:p w14:paraId="129BFDB0" w14:textId="494E34EE" w:rsidR="00FF6498" w:rsidRPr="00E669CB" w:rsidRDefault="00FF6498" w:rsidP="00FF6498">
      <w:pPr>
        <w:spacing w:line="360" w:lineRule="auto"/>
        <w:jc w:val="center"/>
        <w:rPr>
          <w:rFonts w:eastAsia="Calibri"/>
          <w:b/>
          <w:sz w:val="22"/>
          <w:szCs w:val="22"/>
          <w:u w:val="single"/>
        </w:rPr>
      </w:pPr>
      <w:r w:rsidRPr="00E669CB">
        <w:rPr>
          <w:rFonts w:eastAsia="Calibri"/>
          <w:b/>
          <w:sz w:val="22"/>
          <w:szCs w:val="22"/>
          <w:u w:val="single"/>
        </w:rPr>
        <w:t xml:space="preserve">PARECER </w:t>
      </w:r>
      <w:r w:rsidR="00477751" w:rsidRPr="00E669CB">
        <w:rPr>
          <w:rFonts w:eastAsia="Calibri"/>
          <w:b/>
          <w:sz w:val="22"/>
          <w:szCs w:val="22"/>
          <w:u w:val="single"/>
        </w:rPr>
        <w:t>Nº</w:t>
      </w:r>
      <w:r w:rsidR="00FF143E">
        <w:rPr>
          <w:rFonts w:eastAsia="Calibri"/>
          <w:b/>
          <w:sz w:val="22"/>
          <w:szCs w:val="22"/>
          <w:u w:val="single"/>
        </w:rPr>
        <w:t>126</w:t>
      </w:r>
      <w:r w:rsidR="00515FA7">
        <w:rPr>
          <w:rFonts w:eastAsia="Calibri"/>
          <w:b/>
          <w:sz w:val="22"/>
          <w:szCs w:val="22"/>
          <w:u w:val="single"/>
        </w:rPr>
        <w:t xml:space="preserve"> </w:t>
      </w:r>
      <w:r w:rsidRPr="00E669CB">
        <w:rPr>
          <w:rFonts w:eastAsia="Calibri"/>
          <w:b/>
          <w:sz w:val="22"/>
          <w:szCs w:val="22"/>
          <w:u w:val="single"/>
        </w:rPr>
        <w:t>/20</w:t>
      </w:r>
      <w:r w:rsidR="00D71B1D">
        <w:rPr>
          <w:rFonts w:eastAsia="Calibri"/>
          <w:b/>
          <w:sz w:val="22"/>
          <w:szCs w:val="22"/>
          <w:u w:val="single"/>
        </w:rPr>
        <w:t>25</w:t>
      </w:r>
    </w:p>
    <w:p w14:paraId="562EDE88" w14:textId="7EA9A5A9" w:rsidR="00FF5E60" w:rsidRPr="00E669CB" w:rsidRDefault="00FF5E60" w:rsidP="00FF5E60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E669CB">
        <w:rPr>
          <w:b/>
          <w:color w:val="000000" w:themeColor="text1"/>
          <w:sz w:val="22"/>
          <w:szCs w:val="22"/>
          <w:u w:val="single"/>
        </w:rPr>
        <w:t>RELATÓRIO</w:t>
      </w:r>
      <w:r w:rsidR="00FF6498" w:rsidRPr="00E669CB">
        <w:rPr>
          <w:b/>
          <w:color w:val="000000" w:themeColor="text1"/>
          <w:sz w:val="22"/>
          <w:szCs w:val="22"/>
          <w:u w:val="single"/>
        </w:rPr>
        <w:t>:</w:t>
      </w:r>
    </w:p>
    <w:p w14:paraId="58DA12D2" w14:textId="45352DFE" w:rsidR="00D71B1D" w:rsidRPr="00D71B1D" w:rsidRDefault="000D261B" w:rsidP="00D71B1D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436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</w:t>
      </w:r>
      <w:bookmarkStart w:id="1" w:name="_Hlk73521583"/>
      <w:r w:rsidR="003D406A" w:rsidRPr="00D71B1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Cuida-se da </w:t>
      </w:r>
      <w:r w:rsidR="003D406A" w:rsidRPr="00D71B1D">
        <w:rPr>
          <w:rFonts w:ascii="Times New Roman" w:hAnsi="Times New Roman" w:cs="Times New Roman"/>
          <w:iCs/>
          <w:sz w:val="24"/>
          <w:szCs w:val="24"/>
        </w:rPr>
        <w:t xml:space="preserve">análise de constitucionalidade, juridicidade, legalidade e técnica legislativa do </w:t>
      </w:r>
      <w:r w:rsidR="003D406A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Projeto de Lei </w:t>
      </w:r>
      <w:r w:rsidR="00D71B1D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>nº 020</w:t>
      </w:r>
      <w:r w:rsidR="00115468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9A4000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>20</w:t>
      </w:r>
      <w:r w:rsidR="00D71B1D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>25</w:t>
      </w:r>
      <w:r w:rsidR="009A4000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E669CB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bookmarkStart w:id="2" w:name="_Hlk152581507"/>
      <w:r w:rsidR="009A4000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>de autoria d</w:t>
      </w:r>
      <w:r w:rsidR="00D71B1D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9A4000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Senhor</w:t>
      </w:r>
      <w:r w:rsidR="00D71B1D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9A4000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Deputad</w:t>
      </w:r>
      <w:r w:rsidR="00D71B1D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9A4000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71B1D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Fabiana </w:t>
      </w:r>
      <w:r w:rsidR="00FF143E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>Vilar, que</w:t>
      </w:r>
      <w:r w:rsidR="00D71B1D" w:rsidRPr="00D71B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Institui a Política Estadual para garantia, proteção e ampliação dos direitos da Pessoa com Apraxia de Fala na Infância (AFI), no âmbito do Estado do Maranhão e dá outras providências. </w:t>
      </w:r>
    </w:p>
    <w:p w14:paraId="0C896FB4" w14:textId="46BB0869" w:rsidR="00D71B1D" w:rsidRPr="00D71B1D" w:rsidRDefault="00D71B1D" w:rsidP="00D71B1D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 </w:t>
      </w:r>
      <w:r w:rsidRPr="00D71B1D">
        <w:rPr>
          <w:rFonts w:ascii="Times New Roman" w:hAnsi="Times New Roman" w:cs="Times New Roman"/>
          <w:sz w:val="24"/>
          <w:szCs w:val="24"/>
        </w:rPr>
        <w:t xml:space="preserve">Nos termos do projeto de lei sob exame, fica instituída a Política Estadual para garantia, proteção e ampliação do direito da pessoa com Apraxia de Fala na Infância (AFI), nos termos das diretrizes estabelecidas nesta Lei, no âmbito do Estado do Maranhão.  </w:t>
      </w:r>
    </w:p>
    <w:p w14:paraId="2F79F646" w14:textId="1875EA2D" w:rsidR="00D71B1D" w:rsidRPr="00D71B1D" w:rsidRDefault="00D71B1D" w:rsidP="00D71B1D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1B1D">
        <w:rPr>
          <w:rFonts w:ascii="Times New Roman" w:hAnsi="Times New Roman" w:cs="Times New Roman"/>
          <w:sz w:val="24"/>
          <w:szCs w:val="24"/>
        </w:rPr>
        <w:t xml:space="preserve">Apraxia de Fala na Infância (AFI) é o distúrbio neurológico que afeta a condição motora da fala criando desordem na comunicação funcional, cujas características: falhas no processamento, planejamento e na execução da fala;  dificuldade motora da mandíbula, dos lábios, da língua e de outros articuladores; limitado domínio dos sons da fala; dificuldade na coordenação motora fina, para se alimentar, mastigar, e outras atividades diárias, podendo apresentar uma inabilidade motora </w:t>
      </w:r>
      <w:proofErr w:type="gramStart"/>
      <w:r w:rsidRPr="00D71B1D">
        <w:rPr>
          <w:rFonts w:ascii="Times New Roman" w:hAnsi="Times New Roman" w:cs="Times New Roman"/>
          <w:sz w:val="24"/>
          <w:szCs w:val="24"/>
        </w:rPr>
        <w:t>geral;  alteração</w:t>
      </w:r>
      <w:proofErr w:type="gramEnd"/>
      <w:r w:rsidRPr="00D71B1D">
        <w:rPr>
          <w:rFonts w:ascii="Times New Roman" w:hAnsi="Times New Roman" w:cs="Times New Roman"/>
          <w:sz w:val="24"/>
          <w:szCs w:val="24"/>
        </w:rPr>
        <w:t xml:space="preserve"> prosódica. </w:t>
      </w:r>
    </w:p>
    <w:bookmarkEnd w:id="2"/>
    <w:bookmarkEnd w:id="1"/>
    <w:p w14:paraId="02086027" w14:textId="37233D56" w:rsidR="00D71B1D" w:rsidRPr="00D71B1D" w:rsidRDefault="00993BB0" w:rsidP="00D71B1D">
      <w:pPr>
        <w:pStyle w:val="SemEspaamento"/>
        <w:spacing w:line="36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71B1D">
        <w:rPr>
          <w:rFonts w:ascii="Times New Roman" w:hAnsi="Times New Roman" w:cs="Times New Roman"/>
          <w:sz w:val="24"/>
          <w:szCs w:val="24"/>
        </w:rPr>
        <w:t xml:space="preserve">A Política Estadual de que trata a propositura de Lei, </w:t>
      </w:r>
      <w:r w:rsidR="009A4000" w:rsidRPr="00D71B1D">
        <w:rPr>
          <w:rFonts w:ascii="Times New Roman" w:hAnsi="Times New Roman" w:cs="Times New Roman"/>
          <w:sz w:val="24"/>
          <w:szCs w:val="24"/>
        </w:rPr>
        <w:t xml:space="preserve">tem por </w:t>
      </w:r>
      <w:r w:rsidR="00115468" w:rsidRPr="00D71B1D">
        <w:rPr>
          <w:rFonts w:ascii="Times New Roman" w:hAnsi="Times New Roman" w:cs="Times New Roman"/>
          <w:sz w:val="24"/>
          <w:szCs w:val="24"/>
        </w:rPr>
        <w:t>diretrizes</w:t>
      </w:r>
      <w:r w:rsidR="009A4000" w:rsidRPr="00D71B1D">
        <w:rPr>
          <w:rFonts w:ascii="Times New Roman" w:hAnsi="Times New Roman" w:cs="Times New Roman"/>
          <w:sz w:val="24"/>
          <w:szCs w:val="24"/>
        </w:rPr>
        <w:t>:</w:t>
      </w:r>
      <w:r w:rsidR="00115468" w:rsidRPr="00D71B1D">
        <w:rPr>
          <w:rFonts w:ascii="Times New Roman" w:hAnsi="Times New Roman" w:cs="Times New Roman"/>
          <w:sz w:val="24"/>
          <w:szCs w:val="24"/>
        </w:rPr>
        <w:t xml:space="preserve"> </w:t>
      </w:r>
      <w:r w:rsidR="00D71B1D" w:rsidRPr="00D71B1D">
        <w:rPr>
          <w:rFonts w:ascii="Times New Roman" w:hAnsi="Times New Roman" w:cs="Times New Roman"/>
          <w:sz w:val="24"/>
          <w:szCs w:val="24"/>
        </w:rPr>
        <w:t>garantia, proteção e ampliação do direito da pessoa com Apraxia de Fala na Infância (AFI):  a intersetorialidade no desenvolvimento das ações e das políticas no atendimento à pessoa com Apraxia de Fala na Infância (AFI);  a inserção da pessoa com Apraxia de Fala na Infância (AFI), na sociedade e seu protagonismo na formulação de políticas públicas voltadas à efetivação de seus direitos;  a promoção de campanhas de esclarecimento sobre a Apraxia de Fala na Infância (AFI); a atenção integral às necessidades de saúde da pessoa com Apraxia de Fala na Infância (AFI), objetivando o diagnóstico precoce e o devido tratamento por meio de atendimento terapêutico multiprofissional; o incentivo à formação e à capacitação de profissionais especializados no atendimento à pessoa com Apraxia de Fala na Infância (AFI).    o apoio social e psicológico aos pais ou responsáveis de pessoa com Apraxia de Fala na Infância (AFI</w:t>
      </w:r>
      <w:proofErr w:type="gramStart"/>
      <w:r w:rsidR="00D71B1D" w:rsidRPr="00D71B1D">
        <w:rPr>
          <w:rFonts w:ascii="Times New Roman" w:hAnsi="Times New Roman" w:cs="Times New Roman"/>
          <w:sz w:val="24"/>
          <w:szCs w:val="24"/>
        </w:rPr>
        <w:t xml:space="preserve">);   </w:t>
      </w:r>
      <w:proofErr w:type="gramEnd"/>
      <w:r w:rsidR="00D71B1D" w:rsidRPr="00D71B1D">
        <w:rPr>
          <w:rFonts w:ascii="Times New Roman" w:hAnsi="Times New Roman" w:cs="Times New Roman"/>
          <w:sz w:val="24"/>
          <w:szCs w:val="24"/>
        </w:rPr>
        <w:lastRenderedPageBreak/>
        <w:t xml:space="preserve">a proteção contra qualquer forma de abuso e discriminação, sujeito às penalidades legais;  a garantia de matrícula em classes comuns e de oferta do Atendimento Educacional Especializado;   em caso de comprovada necessidade, a pessoa com Apraxia de Fala na Infância (AFI), terá direito a acompanhante especializado. </w:t>
      </w:r>
    </w:p>
    <w:p w14:paraId="6A6E670F" w14:textId="01AC2282" w:rsidR="00FF5E60" w:rsidRPr="00E669CB" w:rsidRDefault="00FF5E60" w:rsidP="008024A6">
      <w:pPr>
        <w:spacing w:line="360" w:lineRule="auto"/>
        <w:ind w:firstLine="993"/>
        <w:jc w:val="both"/>
        <w:rPr>
          <w:sz w:val="22"/>
          <w:szCs w:val="22"/>
        </w:rPr>
      </w:pPr>
      <w:r w:rsidRPr="00E669CB">
        <w:rPr>
          <w:sz w:val="22"/>
          <w:szCs w:val="22"/>
        </w:rPr>
        <w:t xml:space="preserve">Como mencionado acima, analisar-se-á neste parecer a constitucionalidade, a juridicidade e a legalidade projeto de lei apresentado, nos âmbitos formal e material. </w:t>
      </w:r>
    </w:p>
    <w:p w14:paraId="2874A9AE" w14:textId="77777777" w:rsidR="00FF5E60" w:rsidRPr="00E669CB" w:rsidRDefault="00FF5E60" w:rsidP="008024A6">
      <w:pPr>
        <w:spacing w:line="360" w:lineRule="auto"/>
        <w:ind w:firstLine="993"/>
        <w:jc w:val="both"/>
        <w:rPr>
          <w:sz w:val="22"/>
          <w:szCs w:val="22"/>
        </w:rPr>
      </w:pPr>
      <w:r w:rsidRPr="00E669CB">
        <w:rPr>
          <w:b/>
          <w:sz w:val="22"/>
          <w:szCs w:val="22"/>
        </w:rPr>
        <w:t>O processo legislativo brasileiro</w:t>
      </w:r>
      <w:r w:rsidRPr="00E669CB">
        <w:rPr>
          <w:sz w:val="22"/>
          <w:szCs w:val="22"/>
        </w:rPr>
        <w:t xml:space="preserve">, nas três esferas da Federação, </w:t>
      </w:r>
      <w:r w:rsidRPr="00E669CB">
        <w:rPr>
          <w:b/>
          <w:sz w:val="22"/>
          <w:szCs w:val="22"/>
        </w:rPr>
        <w:t>deve obedecer a procedimentos pré-estabelecidos</w:t>
      </w:r>
      <w:r w:rsidRPr="00E669CB">
        <w:rPr>
          <w:sz w:val="22"/>
          <w:szCs w:val="22"/>
        </w:rPr>
        <w:t>. A Constituição Estadual Maranhense de 1989, nas mesmas linhas da Constituição Federal de 1988, estabeleceu (</w:t>
      </w:r>
      <w:proofErr w:type="spellStart"/>
      <w:r w:rsidRPr="00E669CB">
        <w:rPr>
          <w:sz w:val="22"/>
          <w:szCs w:val="22"/>
        </w:rPr>
        <w:t>arts</w:t>
      </w:r>
      <w:proofErr w:type="spellEnd"/>
      <w:r w:rsidRPr="00E669CB">
        <w:rPr>
          <w:sz w:val="22"/>
          <w:szCs w:val="22"/>
        </w:rPr>
        <w:t>. 40 a 49) os procedimentos do processo legislativo no âmbito estadual.</w:t>
      </w:r>
    </w:p>
    <w:p w14:paraId="1E9E3C06" w14:textId="77777777" w:rsidR="00FF5E60" w:rsidRPr="00E669CB" w:rsidRDefault="00FF5E60" w:rsidP="008024A6">
      <w:pPr>
        <w:spacing w:line="360" w:lineRule="auto"/>
        <w:ind w:firstLine="993"/>
        <w:jc w:val="both"/>
        <w:rPr>
          <w:sz w:val="22"/>
          <w:szCs w:val="22"/>
        </w:rPr>
      </w:pPr>
      <w:r w:rsidRPr="00E669CB">
        <w:rPr>
          <w:sz w:val="22"/>
          <w:szCs w:val="22"/>
        </w:rPr>
        <w:t xml:space="preserve">O primeiro ponto de análise é a </w:t>
      </w:r>
      <w:r w:rsidRPr="00E669CB">
        <w:rPr>
          <w:b/>
          <w:sz w:val="22"/>
          <w:szCs w:val="22"/>
        </w:rPr>
        <w:t>iniciativa da proposição</w:t>
      </w:r>
      <w:r w:rsidRPr="00E669CB">
        <w:rPr>
          <w:sz w:val="22"/>
          <w:szCs w:val="22"/>
        </w:rPr>
        <w:t xml:space="preserve">. A Constituição Estadual, em simetria com a Federal, assegura a determinadas pessoas ou grupo de pessoas a iniciativa para a propositura de proposições legislativas. </w:t>
      </w:r>
    </w:p>
    <w:p w14:paraId="3771746B" w14:textId="17F287B6" w:rsidR="00FF5E60" w:rsidRPr="00E669CB" w:rsidRDefault="00FF5E60" w:rsidP="008024A6">
      <w:pPr>
        <w:spacing w:line="360" w:lineRule="auto"/>
        <w:ind w:firstLine="993"/>
        <w:jc w:val="both"/>
        <w:rPr>
          <w:sz w:val="22"/>
          <w:szCs w:val="22"/>
        </w:rPr>
      </w:pPr>
      <w:r w:rsidRPr="00E669CB">
        <w:rPr>
          <w:sz w:val="22"/>
          <w:szCs w:val="22"/>
        </w:rPr>
        <w:t>No caso das Leis Ordinárias, o art. 42</w:t>
      </w:r>
      <w:r w:rsidR="00C30FF7" w:rsidRPr="00E669CB">
        <w:rPr>
          <w:sz w:val="22"/>
          <w:szCs w:val="22"/>
        </w:rPr>
        <w:t>,</w:t>
      </w:r>
      <w:r w:rsidRPr="00E669CB">
        <w:rPr>
          <w:sz w:val="22"/>
          <w:szCs w:val="22"/>
        </w:rPr>
        <w:t xml:space="preserve"> da Constituição do Estado do Maranhão determina da seguinte forma quanto à iniciativa: </w:t>
      </w:r>
      <w:r w:rsidRPr="00E669CB">
        <w:rPr>
          <w:i/>
          <w:sz w:val="22"/>
          <w:szCs w:val="22"/>
        </w:rPr>
        <w:t xml:space="preserve">“a </w:t>
      </w:r>
      <w:r w:rsidRPr="00E669CB">
        <w:rPr>
          <w:b/>
          <w:i/>
          <w:sz w:val="22"/>
          <w:szCs w:val="22"/>
        </w:rPr>
        <w:t xml:space="preserve">iniciativa das leis </w:t>
      </w:r>
      <w:r w:rsidRPr="00E669CB">
        <w:rPr>
          <w:bCs/>
          <w:i/>
          <w:sz w:val="22"/>
          <w:szCs w:val="22"/>
        </w:rPr>
        <w:t>complementares</w:t>
      </w:r>
      <w:r w:rsidRPr="00E669CB">
        <w:rPr>
          <w:b/>
          <w:i/>
          <w:sz w:val="22"/>
          <w:szCs w:val="22"/>
        </w:rPr>
        <w:t xml:space="preserve"> e ordinárias</w:t>
      </w:r>
      <w:r w:rsidRPr="00E669CB">
        <w:rPr>
          <w:i/>
          <w:sz w:val="22"/>
          <w:szCs w:val="22"/>
        </w:rPr>
        <w:t xml:space="preserve"> cabe a qualquer membro ou Comissão da Assembleia Legislativa, ao Governador do Estado, ao Tribunal de Justiça, ao Procurador-Geral da Justiça e aos cidadãos, na forma e nos casos previstos nesta Constituição”</w:t>
      </w:r>
      <w:r w:rsidRPr="00E669CB">
        <w:rPr>
          <w:sz w:val="22"/>
          <w:szCs w:val="22"/>
        </w:rPr>
        <w:t xml:space="preserve">. Essa </w:t>
      </w:r>
      <w:r w:rsidRPr="00E669CB">
        <w:rPr>
          <w:b/>
          <w:sz w:val="22"/>
          <w:szCs w:val="22"/>
        </w:rPr>
        <w:t>iniciativa</w:t>
      </w:r>
      <w:r w:rsidRPr="00E669CB">
        <w:rPr>
          <w:sz w:val="22"/>
          <w:szCs w:val="22"/>
        </w:rPr>
        <w:t xml:space="preserve"> é chamada de </w:t>
      </w:r>
      <w:r w:rsidRPr="00E669CB">
        <w:rPr>
          <w:b/>
          <w:sz w:val="22"/>
          <w:szCs w:val="22"/>
        </w:rPr>
        <w:t>geral</w:t>
      </w:r>
      <w:r w:rsidRPr="00E669CB">
        <w:rPr>
          <w:sz w:val="22"/>
          <w:szCs w:val="22"/>
        </w:rPr>
        <w:t>, pois qualquer um dos citados acima poderá deflagrar o processo legislativo de leis complementares e ordinárias.</w:t>
      </w:r>
    </w:p>
    <w:p w14:paraId="6694A08B" w14:textId="7535B59A" w:rsidR="00FF5E60" w:rsidRPr="00E669CB" w:rsidRDefault="00FF5E60" w:rsidP="008024A6">
      <w:pPr>
        <w:spacing w:line="360" w:lineRule="auto"/>
        <w:ind w:firstLine="993"/>
        <w:jc w:val="both"/>
        <w:rPr>
          <w:sz w:val="22"/>
          <w:szCs w:val="22"/>
          <w:u w:val="single"/>
        </w:rPr>
      </w:pPr>
      <w:r w:rsidRPr="00E669CB">
        <w:rPr>
          <w:sz w:val="22"/>
          <w:szCs w:val="22"/>
        </w:rPr>
        <w:t xml:space="preserve">A apresentação de </w:t>
      </w:r>
      <w:r w:rsidR="00E40CA0">
        <w:rPr>
          <w:sz w:val="22"/>
          <w:szCs w:val="22"/>
        </w:rPr>
        <w:t>P</w:t>
      </w:r>
      <w:r w:rsidRPr="00E669CB">
        <w:rPr>
          <w:sz w:val="22"/>
          <w:szCs w:val="22"/>
        </w:rPr>
        <w:t xml:space="preserve">rojeto de </w:t>
      </w:r>
      <w:r w:rsidR="00E40CA0">
        <w:rPr>
          <w:sz w:val="22"/>
          <w:szCs w:val="22"/>
        </w:rPr>
        <w:t>L</w:t>
      </w:r>
      <w:r w:rsidRPr="00E669CB">
        <w:rPr>
          <w:sz w:val="22"/>
          <w:szCs w:val="22"/>
        </w:rPr>
        <w:t xml:space="preserve">ei de iniciativa parlamentar na </w:t>
      </w:r>
      <w:r w:rsidRPr="00E669CB">
        <w:rPr>
          <w:sz w:val="22"/>
          <w:szCs w:val="22"/>
          <w:u w:val="single"/>
        </w:rPr>
        <w:t>criação de políticas públicas</w:t>
      </w:r>
      <w:r w:rsidRPr="00E669CB">
        <w:rPr>
          <w:sz w:val="22"/>
          <w:szCs w:val="22"/>
        </w:rPr>
        <w:t xml:space="preserve"> </w:t>
      </w:r>
      <w:r w:rsidRPr="00E669CB">
        <w:rPr>
          <w:sz w:val="22"/>
          <w:szCs w:val="22"/>
          <w:u w:val="single"/>
        </w:rPr>
        <w:t>é viabilizada desde que, em respeito ao Princípio da Separação entre os Poderes, não haja interferência na estrutura organizacional da administração pública do Poder Executivo e nem se atribuam competências a órgãos e entidades estatais.</w:t>
      </w:r>
    </w:p>
    <w:p w14:paraId="6EDFEE1A" w14:textId="351C1C6B" w:rsidR="00FF5E60" w:rsidRPr="00E669CB" w:rsidRDefault="00FF5E60" w:rsidP="008024A6">
      <w:pPr>
        <w:spacing w:line="360" w:lineRule="auto"/>
        <w:ind w:firstLine="993"/>
        <w:jc w:val="both"/>
        <w:rPr>
          <w:sz w:val="22"/>
          <w:szCs w:val="22"/>
        </w:rPr>
      </w:pPr>
      <w:r w:rsidRPr="00E669CB">
        <w:rPr>
          <w:sz w:val="22"/>
          <w:szCs w:val="22"/>
        </w:rPr>
        <w:t xml:space="preserve">A instituição de política pública estadual, mediante projeto de lei de iniciativa parlamentar, torna-se juridicamente viável contanto que a política se restrinja à definição de </w:t>
      </w:r>
      <w:r w:rsidRPr="00E669CB">
        <w:rPr>
          <w:b/>
          <w:sz w:val="22"/>
          <w:szCs w:val="22"/>
          <w:u w:val="single"/>
        </w:rPr>
        <w:t>diretrizes, parâmetros e objetivos</w:t>
      </w:r>
      <w:r w:rsidR="004708AE" w:rsidRPr="00E669CB">
        <w:rPr>
          <w:b/>
          <w:sz w:val="22"/>
          <w:szCs w:val="22"/>
          <w:u w:val="single"/>
        </w:rPr>
        <w:t xml:space="preserve">, </w:t>
      </w:r>
      <w:r w:rsidR="004708AE" w:rsidRPr="00E669CB">
        <w:rPr>
          <w:sz w:val="22"/>
          <w:szCs w:val="22"/>
        </w:rPr>
        <w:t>caso em espécie</w:t>
      </w:r>
      <w:r w:rsidRPr="00E669CB">
        <w:rPr>
          <w:sz w:val="22"/>
          <w:szCs w:val="22"/>
        </w:rPr>
        <w:t>.</w:t>
      </w:r>
    </w:p>
    <w:p w14:paraId="1FBE5415" w14:textId="5F0132DA" w:rsidR="00FF5E60" w:rsidRPr="00E669CB" w:rsidRDefault="00FF5E60" w:rsidP="008024A6">
      <w:pPr>
        <w:spacing w:line="360" w:lineRule="auto"/>
        <w:ind w:firstLine="993"/>
        <w:jc w:val="both"/>
        <w:rPr>
          <w:sz w:val="22"/>
          <w:szCs w:val="22"/>
        </w:rPr>
      </w:pPr>
      <w:r w:rsidRPr="00E669CB">
        <w:rPr>
          <w:sz w:val="22"/>
          <w:szCs w:val="22"/>
        </w:rPr>
        <w:t>Vale ressaltar, que a atividade legislativa opera tipicamente no plano da abstração e da generalidade e não pode avançar até o detalhamento da ação executiva ou questões técnicas, prescrevendo a implantação de política governamental, fato que iria esvaziar a atuação institucional do Poder Executivo e, principalmente, contrariar o Princípio da Separação dos Poderes, fundamento do Estado Democrático de Direito previsto no art. 2º</w:t>
      </w:r>
      <w:r w:rsidR="00C30FF7" w:rsidRPr="00E669CB">
        <w:rPr>
          <w:sz w:val="22"/>
          <w:szCs w:val="22"/>
        </w:rPr>
        <w:t>,</w:t>
      </w:r>
      <w:r w:rsidRPr="00E669CB">
        <w:rPr>
          <w:sz w:val="22"/>
          <w:szCs w:val="22"/>
        </w:rPr>
        <w:t xml:space="preserve"> da Constituição da República. </w:t>
      </w:r>
    </w:p>
    <w:p w14:paraId="21FA7FC0" w14:textId="1EDA4B70" w:rsidR="008F4A5F" w:rsidRPr="008F4A5F" w:rsidRDefault="008F4A5F" w:rsidP="008F4A5F">
      <w:pPr>
        <w:spacing w:line="360" w:lineRule="auto"/>
        <w:ind w:firstLine="851"/>
        <w:jc w:val="both"/>
        <w:rPr>
          <w:b/>
          <w:bCs/>
          <w:iCs/>
          <w:sz w:val="22"/>
          <w:szCs w:val="22"/>
        </w:rPr>
      </w:pPr>
      <w:r w:rsidRPr="008F4A5F">
        <w:rPr>
          <w:iCs/>
          <w:sz w:val="22"/>
          <w:szCs w:val="22"/>
        </w:rPr>
        <w:lastRenderedPageBreak/>
        <w:t xml:space="preserve">Quanto à forma, a </w:t>
      </w:r>
      <w:r>
        <w:rPr>
          <w:iCs/>
          <w:sz w:val="22"/>
          <w:szCs w:val="22"/>
        </w:rPr>
        <w:t>L</w:t>
      </w:r>
      <w:r w:rsidRPr="008F4A5F">
        <w:rPr>
          <w:iCs/>
          <w:sz w:val="22"/>
          <w:szCs w:val="22"/>
        </w:rPr>
        <w:t xml:space="preserve">ei </w:t>
      </w:r>
      <w:r>
        <w:rPr>
          <w:iCs/>
          <w:sz w:val="22"/>
          <w:szCs w:val="22"/>
        </w:rPr>
        <w:t>O</w:t>
      </w:r>
      <w:r w:rsidRPr="008F4A5F">
        <w:rPr>
          <w:iCs/>
          <w:sz w:val="22"/>
          <w:szCs w:val="22"/>
        </w:rPr>
        <w:t xml:space="preserve">rdinária é o instrumento correto para o fim previsto, </w:t>
      </w:r>
      <w:r w:rsidRPr="008F4A5F">
        <w:rPr>
          <w:b/>
          <w:bCs/>
          <w:iCs/>
          <w:sz w:val="22"/>
          <w:szCs w:val="22"/>
        </w:rPr>
        <w:t>não havendo objeções nessa fase do processo legislativo.</w:t>
      </w:r>
    </w:p>
    <w:p w14:paraId="49FC8415" w14:textId="5AC9CBC0" w:rsidR="00FF6498" w:rsidRPr="00E669CB" w:rsidRDefault="00FF6498" w:rsidP="005539C0">
      <w:pPr>
        <w:spacing w:line="360" w:lineRule="auto"/>
        <w:ind w:right="18"/>
        <w:jc w:val="both"/>
        <w:rPr>
          <w:rFonts w:eastAsia="Calibri"/>
          <w:b/>
          <w:sz w:val="22"/>
          <w:szCs w:val="22"/>
        </w:rPr>
      </w:pPr>
      <w:r w:rsidRPr="00E669CB">
        <w:rPr>
          <w:rFonts w:eastAsia="Calibri"/>
          <w:b/>
          <w:sz w:val="22"/>
          <w:szCs w:val="22"/>
          <w:u w:val="single"/>
        </w:rPr>
        <w:t>VOTO DO RELATOR</w:t>
      </w:r>
      <w:r w:rsidRPr="00E669CB">
        <w:rPr>
          <w:rFonts w:eastAsia="Calibri"/>
          <w:b/>
          <w:sz w:val="22"/>
          <w:szCs w:val="22"/>
        </w:rPr>
        <w:t>:</w:t>
      </w:r>
    </w:p>
    <w:p w14:paraId="7763E78D" w14:textId="1582D1E3" w:rsidR="00FF6498" w:rsidRPr="00E669CB" w:rsidRDefault="00FF6498" w:rsidP="00325925">
      <w:pPr>
        <w:pStyle w:val="Recuodecorpodetexto"/>
        <w:ind w:firstLine="709"/>
        <w:rPr>
          <w:rFonts w:ascii="Times New Roman" w:hAnsi="Times New Roman" w:cs="Times New Roman"/>
          <w:sz w:val="22"/>
          <w:szCs w:val="22"/>
        </w:rPr>
      </w:pPr>
      <w:r w:rsidRPr="00E669CB">
        <w:rPr>
          <w:rFonts w:ascii="Times New Roman" w:hAnsi="Times New Roman" w:cs="Times New Roman"/>
          <w:sz w:val="22"/>
          <w:szCs w:val="22"/>
        </w:rPr>
        <w:t xml:space="preserve">A proposição sob exame está redigida de acordo com o que preceitua a legislação específica, assim sendo, votamos pela </w:t>
      </w:r>
      <w:r w:rsidR="00C30FF7" w:rsidRPr="00E669CB">
        <w:rPr>
          <w:rFonts w:ascii="Times New Roman" w:hAnsi="Times New Roman" w:cs="Times New Roman"/>
          <w:b/>
          <w:sz w:val="22"/>
          <w:szCs w:val="22"/>
        </w:rPr>
        <w:t>a</w:t>
      </w:r>
      <w:r w:rsidRPr="00E669CB">
        <w:rPr>
          <w:rFonts w:ascii="Times New Roman" w:hAnsi="Times New Roman" w:cs="Times New Roman"/>
          <w:b/>
          <w:sz w:val="22"/>
          <w:szCs w:val="22"/>
        </w:rPr>
        <w:t xml:space="preserve">provação do Projeto de </w:t>
      </w:r>
      <w:r w:rsidRPr="00F862A9">
        <w:rPr>
          <w:rFonts w:ascii="Times New Roman" w:hAnsi="Times New Roman" w:cs="Times New Roman"/>
          <w:b/>
          <w:sz w:val="22"/>
          <w:szCs w:val="22"/>
        </w:rPr>
        <w:t>Lei nº</w:t>
      </w:r>
      <w:r w:rsidR="00E40C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71B1D">
        <w:rPr>
          <w:rFonts w:ascii="Times New Roman" w:hAnsi="Times New Roman" w:cs="Times New Roman"/>
          <w:b/>
          <w:sz w:val="22"/>
          <w:szCs w:val="22"/>
        </w:rPr>
        <w:t>020</w:t>
      </w:r>
      <w:r w:rsidR="00FA490F">
        <w:rPr>
          <w:rFonts w:ascii="Times New Roman" w:hAnsi="Times New Roman" w:cs="Times New Roman"/>
          <w:b/>
          <w:sz w:val="22"/>
          <w:szCs w:val="22"/>
        </w:rPr>
        <w:t>/20</w:t>
      </w:r>
      <w:r w:rsidR="00D71B1D">
        <w:rPr>
          <w:rFonts w:ascii="Times New Roman" w:hAnsi="Times New Roman" w:cs="Times New Roman"/>
          <w:b/>
          <w:sz w:val="22"/>
          <w:szCs w:val="22"/>
        </w:rPr>
        <w:t>25</w:t>
      </w:r>
      <w:r w:rsidRPr="009D46CF">
        <w:rPr>
          <w:rFonts w:ascii="Times New Roman" w:hAnsi="Times New Roman" w:cs="Times New Roman"/>
          <w:sz w:val="22"/>
          <w:szCs w:val="22"/>
        </w:rPr>
        <w:t xml:space="preserve">, </w:t>
      </w:r>
      <w:r w:rsidR="00520867" w:rsidRPr="00E669CB">
        <w:rPr>
          <w:rFonts w:ascii="Times New Roman" w:hAnsi="Times New Roman" w:cs="Times New Roman"/>
          <w:sz w:val="22"/>
          <w:szCs w:val="22"/>
        </w:rPr>
        <w:t>na forma do texto original.</w:t>
      </w:r>
    </w:p>
    <w:p w14:paraId="4EB708D4" w14:textId="44356A8F" w:rsidR="00FF6498" w:rsidRDefault="00FF6498" w:rsidP="00325925">
      <w:pPr>
        <w:pStyle w:val="Recuodecorpodetexto"/>
        <w:ind w:firstLine="709"/>
        <w:rPr>
          <w:rFonts w:ascii="Times New Roman" w:hAnsi="Times New Roman" w:cs="Times New Roman"/>
          <w:sz w:val="22"/>
          <w:szCs w:val="22"/>
        </w:rPr>
      </w:pPr>
      <w:r w:rsidRPr="00E669CB">
        <w:rPr>
          <w:rFonts w:ascii="Times New Roman" w:hAnsi="Times New Roman" w:cs="Times New Roman"/>
          <w:sz w:val="22"/>
          <w:szCs w:val="22"/>
        </w:rPr>
        <w:t>É o voto.</w:t>
      </w:r>
    </w:p>
    <w:p w14:paraId="42F6C766" w14:textId="5305B143" w:rsidR="003D406A" w:rsidRPr="00E669CB" w:rsidRDefault="003D406A" w:rsidP="003D406A">
      <w:pPr>
        <w:tabs>
          <w:tab w:val="left" w:pos="2694"/>
        </w:tabs>
        <w:spacing w:after="120"/>
        <w:ind w:right="191"/>
        <w:rPr>
          <w:b/>
          <w:sz w:val="22"/>
          <w:szCs w:val="22"/>
        </w:rPr>
      </w:pPr>
      <w:r w:rsidRPr="00E669CB">
        <w:rPr>
          <w:b/>
          <w:sz w:val="22"/>
          <w:szCs w:val="22"/>
          <w:u w:val="single"/>
        </w:rPr>
        <w:t>PARECER DA COMISSÃO</w:t>
      </w:r>
      <w:r w:rsidRPr="00E669CB">
        <w:rPr>
          <w:b/>
          <w:sz w:val="22"/>
          <w:szCs w:val="22"/>
        </w:rPr>
        <w:t>:</w:t>
      </w:r>
    </w:p>
    <w:p w14:paraId="104C7863" w14:textId="1F1C9EB7" w:rsidR="003D406A" w:rsidRPr="00E669CB" w:rsidRDefault="003D406A" w:rsidP="003D406A">
      <w:pPr>
        <w:spacing w:line="360" w:lineRule="auto"/>
        <w:ind w:firstLine="851"/>
        <w:jc w:val="both"/>
        <w:rPr>
          <w:rFonts w:eastAsia="Batang"/>
          <w:sz w:val="22"/>
          <w:szCs w:val="22"/>
        </w:rPr>
      </w:pPr>
      <w:r w:rsidRPr="00E669CB">
        <w:rPr>
          <w:rFonts w:eastAsia="Calibri"/>
          <w:sz w:val="22"/>
          <w:szCs w:val="22"/>
        </w:rPr>
        <w:t>Os membros da Comissão de Constituição, Justiça e Cidadania</w:t>
      </w:r>
      <w:r w:rsidRPr="00E669CB">
        <w:rPr>
          <w:rFonts w:eastAsia="Batang"/>
          <w:bCs/>
          <w:kern w:val="32"/>
          <w:sz w:val="22"/>
          <w:szCs w:val="22"/>
        </w:rPr>
        <w:t xml:space="preserve"> votam pela </w:t>
      </w:r>
      <w:r w:rsidRPr="00E669CB">
        <w:rPr>
          <w:rFonts w:eastAsia="Calibri"/>
          <w:b/>
          <w:sz w:val="22"/>
          <w:szCs w:val="22"/>
        </w:rPr>
        <w:t>APROVAÇÃO</w:t>
      </w:r>
      <w:r w:rsidRPr="00E669CB">
        <w:rPr>
          <w:rFonts w:eastAsia="Calibri"/>
          <w:sz w:val="22"/>
          <w:szCs w:val="22"/>
        </w:rPr>
        <w:t xml:space="preserve"> do </w:t>
      </w:r>
      <w:r w:rsidRPr="00E669CB">
        <w:rPr>
          <w:rFonts w:eastAsia="Calibri"/>
          <w:b/>
          <w:sz w:val="22"/>
          <w:szCs w:val="22"/>
        </w:rPr>
        <w:t xml:space="preserve">Projeto de Lei Ordinária </w:t>
      </w:r>
      <w:r w:rsidR="009D46CF" w:rsidRPr="009D46CF">
        <w:rPr>
          <w:rFonts w:eastAsia="Calibri"/>
          <w:b/>
          <w:sz w:val="22"/>
          <w:szCs w:val="22"/>
        </w:rPr>
        <w:t xml:space="preserve">nº </w:t>
      </w:r>
      <w:r w:rsidR="00D71B1D">
        <w:rPr>
          <w:rFonts w:eastAsia="Calibri"/>
          <w:b/>
          <w:sz w:val="22"/>
          <w:szCs w:val="22"/>
        </w:rPr>
        <w:t>020</w:t>
      </w:r>
      <w:r w:rsidR="00E40CA0">
        <w:rPr>
          <w:rFonts w:eastAsia="Calibri"/>
          <w:b/>
          <w:sz w:val="22"/>
          <w:szCs w:val="22"/>
        </w:rPr>
        <w:t>/20</w:t>
      </w:r>
      <w:r w:rsidR="00D71B1D">
        <w:rPr>
          <w:rFonts w:eastAsia="Calibri"/>
          <w:b/>
          <w:sz w:val="22"/>
          <w:szCs w:val="22"/>
        </w:rPr>
        <w:t>25</w:t>
      </w:r>
      <w:r w:rsidRPr="009D46CF">
        <w:rPr>
          <w:rFonts w:eastAsia="Calibri"/>
          <w:sz w:val="22"/>
          <w:szCs w:val="22"/>
        </w:rPr>
        <w:t xml:space="preserve">, </w:t>
      </w:r>
      <w:r w:rsidRPr="00F862A9">
        <w:rPr>
          <w:rFonts w:eastAsia="Calibri"/>
          <w:sz w:val="22"/>
          <w:szCs w:val="22"/>
        </w:rPr>
        <w:t xml:space="preserve">nos termos </w:t>
      </w:r>
      <w:r w:rsidRPr="00E669CB">
        <w:rPr>
          <w:rFonts w:eastAsia="Calibri"/>
          <w:sz w:val="22"/>
          <w:szCs w:val="22"/>
        </w:rPr>
        <w:t>do voto do Relator.</w:t>
      </w:r>
    </w:p>
    <w:p w14:paraId="60B33538" w14:textId="77777777" w:rsidR="003D406A" w:rsidRDefault="003D406A" w:rsidP="003D406A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sz w:val="22"/>
          <w:szCs w:val="22"/>
        </w:rPr>
      </w:pPr>
      <w:r w:rsidRPr="00E669CB">
        <w:rPr>
          <w:sz w:val="22"/>
          <w:szCs w:val="22"/>
        </w:rPr>
        <w:t>É o parecer.</w:t>
      </w:r>
    </w:p>
    <w:p w14:paraId="7DB34E64" w14:textId="519E230A" w:rsidR="00543F18" w:rsidRPr="00543F18" w:rsidRDefault="00543F18" w:rsidP="00543F18">
      <w:pPr>
        <w:spacing w:after="200"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543F18">
        <w:rPr>
          <w:rFonts w:eastAsia="Calibri"/>
          <w:sz w:val="22"/>
          <w:szCs w:val="22"/>
          <w:lang w:eastAsia="en-US"/>
        </w:rPr>
        <w:t>SALA DAS COMISSÕES “DEPUTADO LÉO FRANKLIM”, em</w:t>
      </w:r>
      <w:r w:rsidR="00D71B1D">
        <w:rPr>
          <w:rFonts w:eastAsia="Calibri"/>
          <w:sz w:val="22"/>
          <w:szCs w:val="22"/>
          <w:lang w:eastAsia="en-US"/>
        </w:rPr>
        <w:t xml:space="preserve"> </w:t>
      </w:r>
      <w:r w:rsidR="00FF143E">
        <w:rPr>
          <w:rFonts w:eastAsia="Calibri"/>
          <w:sz w:val="22"/>
          <w:szCs w:val="22"/>
          <w:lang w:eastAsia="en-US"/>
        </w:rPr>
        <w:t>25</w:t>
      </w:r>
      <w:r w:rsidRPr="00543F18">
        <w:rPr>
          <w:rFonts w:eastAsia="Calibri"/>
          <w:sz w:val="22"/>
          <w:szCs w:val="22"/>
          <w:lang w:eastAsia="en-US"/>
        </w:rPr>
        <w:t xml:space="preserve"> de </w:t>
      </w:r>
      <w:r w:rsidR="00115468">
        <w:rPr>
          <w:rFonts w:eastAsia="Calibri"/>
          <w:sz w:val="22"/>
          <w:szCs w:val="22"/>
          <w:lang w:eastAsia="en-US"/>
        </w:rPr>
        <w:t>fevereiro</w:t>
      </w:r>
      <w:r w:rsidRPr="00543F18">
        <w:rPr>
          <w:rFonts w:eastAsia="Calibri"/>
          <w:sz w:val="22"/>
          <w:szCs w:val="22"/>
          <w:lang w:eastAsia="en-US"/>
        </w:rPr>
        <w:t xml:space="preserve"> de 202</w:t>
      </w:r>
      <w:r w:rsidR="00115468">
        <w:rPr>
          <w:rFonts w:eastAsia="Calibri"/>
          <w:sz w:val="22"/>
          <w:szCs w:val="22"/>
          <w:lang w:eastAsia="en-US"/>
        </w:rPr>
        <w:t>5</w:t>
      </w:r>
      <w:r w:rsidRPr="00543F18">
        <w:rPr>
          <w:rFonts w:eastAsia="Calibri"/>
          <w:sz w:val="22"/>
          <w:szCs w:val="22"/>
          <w:lang w:eastAsia="en-US"/>
        </w:rPr>
        <w:t xml:space="preserve">.  </w:t>
      </w:r>
    </w:p>
    <w:p w14:paraId="0D04BF4A" w14:textId="24EB3A2F" w:rsidR="00D71B1D" w:rsidRPr="00AB7DE4" w:rsidRDefault="00543F18" w:rsidP="00285840">
      <w:pPr>
        <w:autoSpaceDE w:val="0"/>
        <w:autoSpaceDN w:val="0"/>
        <w:adjustRightInd w:val="0"/>
        <w:ind w:left="3969" w:hanging="3969"/>
        <w:jc w:val="both"/>
        <w:rPr>
          <w:color w:val="000000"/>
          <w:sz w:val="24"/>
          <w:szCs w:val="24"/>
          <w:lang w:eastAsia="en-US"/>
        </w:rPr>
      </w:pPr>
      <w:r w:rsidRPr="00543F18">
        <w:rPr>
          <w:rFonts w:eastAsia="Calibri"/>
          <w:sz w:val="22"/>
          <w:szCs w:val="22"/>
          <w:lang w:eastAsia="en-US"/>
        </w:rPr>
        <w:t xml:space="preserve"> </w:t>
      </w:r>
      <w:r w:rsidRPr="00543F18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</w:t>
      </w:r>
      <w:r w:rsidR="008E4665" w:rsidRPr="008E4665">
        <w:rPr>
          <w:rFonts w:eastAsia="Calibri"/>
          <w:sz w:val="22"/>
          <w:szCs w:val="22"/>
          <w:lang w:eastAsia="en-US"/>
        </w:rPr>
        <w:t xml:space="preserve"> </w:t>
      </w:r>
      <w:r w:rsidR="008E4665" w:rsidRPr="008E4665">
        <w:rPr>
          <w:rFonts w:eastAsia="Calibri"/>
          <w:color w:val="000000"/>
          <w:sz w:val="22"/>
          <w:szCs w:val="22"/>
          <w:lang w:eastAsia="en-US"/>
        </w:rPr>
        <w:t xml:space="preserve">                        </w:t>
      </w:r>
      <w:r w:rsidR="00AB7DE4">
        <w:rPr>
          <w:rFonts w:eastAsia="Calibri"/>
          <w:color w:val="000000"/>
          <w:sz w:val="22"/>
          <w:szCs w:val="22"/>
          <w:lang w:eastAsia="en-US"/>
        </w:rPr>
        <w:t xml:space="preserve">      </w:t>
      </w:r>
    </w:p>
    <w:p w14:paraId="7D96614A" w14:textId="50A11FB1" w:rsidR="00285840" w:rsidRPr="00AA0CDD" w:rsidRDefault="00285840" w:rsidP="0028584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    </w:t>
      </w:r>
      <w:r w:rsidRPr="00AA0CDD">
        <w:rPr>
          <w:rFonts w:eastAsia="Calibri"/>
          <w:b/>
          <w:sz w:val="24"/>
          <w:szCs w:val="24"/>
        </w:rPr>
        <w:t xml:space="preserve">Presidente em exercício: </w:t>
      </w:r>
      <w:r w:rsidRPr="00AA0CDD">
        <w:rPr>
          <w:rFonts w:eastAsia="Calibri"/>
          <w:bCs/>
          <w:sz w:val="24"/>
          <w:szCs w:val="24"/>
        </w:rPr>
        <w:t>Deputado Neto Evangelista</w:t>
      </w:r>
    </w:p>
    <w:p w14:paraId="0D1F3D29" w14:textId="77777777" w:rsidR="00285840" w:rsidRPr="00AA0CDD" w:rsidRDefault="00285840" w:rsidP="002858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AA0CDD">
        <w:rPr>
          <w:rFonts w:eastAsia="Calibri"/>
          <w:b/>
          <w:sz w:val="24"/>
          <w:szCs w:val="24"/>
        </w:rPr>
        <w:t xml:space="preserve">                                                               Relator: </w:t>
      </w:r>
      <w:r w:rsidRPr="00AA0CDD">
        <w:rPr>
          <w:rFonts w:eastAsia="Calibri"/>
          <w:bCs/>
          <w:sz w:val="24"/>
          <w:szCs w:val="24"/>
        </w:rPr>
        <w:t>Deputado</w:t>
      </w:r>
      <w:r w:rsidRPr="00AA0CDD">
        <w:rPr>
          <w:rFonts w:eastAsia="Calibri"/>
          <w:sz w:val="24"/>
          <w:szCs w:val="24"/>
        </w:rPr>
        <w:t xml:space="preserve"> João Batista Segundo                     </w:t>
      </w:r>
    </w:p>
    <w:p w14:paraId="027A0951" w14:textId="77777777" w:rsidR="00285840" w:rsidRPr="00AA0CDD" w:rsidRDefault="00285840" w:rsidP="002858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</w:p>
    <w:p w14:paraId="1EC41D7A" w14:textId="77777777" w:rsidR="00285840" w:rsidRPr="00AA0CDD" w:rsidRDefault="00285840" w:rsidP="002858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AA0CDD">
        <w:rPr>
          <w:rFonts w:eastAsia="Calibri"/>
          <w:b/>
          <w:sz w:val="24"/>
          <w:szCs w:val="24"/>
        </w:rPr>
        <w:t>Vota a favor:                                                       Vota contra:</w:t>
      </w:r>
    </w:p>
    <w:p w14:paraId="64AB9BE0" w14:textId="77777777" w:rsidR="00285840" w:rsidRPr="00AA0CDD" w:rsidRDefault="00285840" w:rsidP="002858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AA0CDD">
        <w:rPr>
          <w:rFonts w:eastAsia="Calibri"/>
          <w:bCs/>
          <w:sz w:val="24"/>
          <w:szCs w:val="24"/>
        </w:rPr>
        <w:t xml:space="preserve">Deputado Arnaldo Melo </w:t>
      </w:r>
      <w:r w:rsidRPr="00AA0CDD">
        <w:rPr>
          <w:rFonts w:eastAsia="Calibri"/>
          <w:sz w:val="24"/>
          <w:szCs w:val="24"/>
        </w:rPr>
        <w:t xml:space="preserve">                                ________________________</w:t>
      </w:r>
    </w:p>
    <w:p w14:paraId="2687C6F4" w14:textId="77777777" w:rsidR="00285840" w:rsidRPr="00AA0CDD" w:rsidRDefault="00285840" w:rsidP="002858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AA0CDD">
        <w:rPr>
          <w:rFonts w:eastAsia="Calibri"/>
          <w:bCs/>
          <w:sz w:val="24"/>
          <w:szCs w:val="24"/>
        </w:rPr>
        <w:t xml:space="preserve">Deputado Fernando </w:t>
      </w:r>
      <w:proofErr w:type="spellStart"/>
      <w:r w:rsidRPr="00AA0CDD">
        <w:rPr>
          <w:rFonts w:eastAsia="Calibri"/>
          <w:bCs/>
          <w:sz w:val="24"/>
          <w:szCs w:val="24"/>
        </w:rPr>
        <w:t>Braide</w:t>
      </w:r>
      <w:proofErr w:type="spellEnd"/>
      <w:r w:rsidRPr="00AA0CDD">
        <w:rPr>
          <w:rFonts w:eastAsia="Calibri"/>
          <w:bCs/>
          <w:sz w:val="24"/>
          <w:szCs w:val="24"/>
        </w:rPr>
        <w:t xml:space="preserve"> </w:t>
      </w:r>
      <w:r w:rsidRPr="00AA0CDD">
        <w:rPr>
          <w:rFonts w:eastAsia="Calibri"/>
          <w:sz w:val="24"/>
          <w:szCs w:val="24"/>
        </w:rPr>
        <w:t xml:space="preserve">                             ________________________</w:t>
      </w:r>
    </w:p>
    <w:p w14:paraId="41E84BAB" w14:textId="77777777" w:rsidR="00285840" w:rsidRPr="00AA0CDD" w:rsidRDefault="00285840" w:rsidP="002858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AA0CDD">
        <w:rPr>
          <w:rFonts w:eastAsia="Calibri"/>
          <w:bCs/>
          <w:sz w:val="24"/>
          <w:szCs w:val="24"/>
        </w:rPr>
        <w:t>Deputado Ariston</w:t>
      </w:r>
      <w:r>
        <w:rPr>
          <w:rFonts w:eastAsia="Calibri"/>
          <w:bCs/>
          <w:sz w:val="24"/>
          <w:szCs w:val="24"/>
        </w:rPr>
        <w:t xml:space="preserve">                                              </w:t>
      </w:r>
      <w:r w:rsidRPr="00AA0CDD">
        <w:rPr>
          <w:rFonts w:eastAsia="Calibri"/>
          <w:sz w:val="24"/>
          <w:szCs w:val="24"/>
        </w:rPr>
        <w:t xml:space="preserve"> ________________________</w:t>
      </w:r>
    </w:p>
    <w:p w14:paraId="07ABAE79" w14:textId="77777777" w:rsidR="00285840" w:rsidRPr="00AA0CDD" w:rsidRDefault="00285840" w:rsidP="002858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AA0CDD">
        <w:rPr>
          <w:rFonts w:eastAsia="Calibri"/>
          <w:bCs/>
          <w:sz w:val="24"/>
          <w:szCs w:val="24"/>
        </w:rPr>
        <w:t xml:space="preserve">Deputado Ricardo Arruda </w:t>
      </w:r>
      <w:r w:rsidRPr="00AA0CDD">
        <w:rPr>
          <w:rFonts w:eastAsia="Calibri"/>
          <w:sz w:val="24"/>
          <w:szCs w:val="24"/>
        </w:rPr>
        <w:t xml:space="preserve">                             ________________________</w:t>
      </w:r>
    </w:p>
    <w:p w14:paraId="485708F8" w14:textId="77777777" w:rsidR="00D71B1D" w:rsidRPr="00AB7DE4" w:rsidRDefault="00D71B1D" w:rsidP="00AB7D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en-US"/>
        </w:rPr>
      </w:pPr>
    </w:p>
    <w:bookmarkEnd w:id="0"/>
    <w:sectPr w:rsidR="00D71B1D" w:rsidRPr="00AB7DE4" w:rsidSect="00FF6498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A46E" w14:textId="77777777" w:rsidR="00DD34FB" w:rsidRDefault="00FF6498">
      <w:r>
        <w:separator/>
      </w:r>
    </w:p>
  </w:endnote>
  <w:endnote w:type="continuationSeparator" w:id="0">
    <w:p w14:paraId="6FF6EF8A" w14:textId="77777777" w:rsidR="00DD34FB" w:rsidRDefault="00FF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4555" w14:textId="77777777" w:rsidR="00DD34FB" w:rsidRDefault="00FF6498">
      <w:r>
        <w:separator/>
      </w:r>
    </w:p>
  </w:footnote>
  <w:footnote w:type="continuationSeparator" w:id="0">
    <w:p w14:paraId="1417277D" w14:textId="77777777" w:rsidR="00DD34FB" w:rsidRDefault="00FF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FC27" w14:textId="77777777" w:rsidR="00FF6498" w:rsidRPr="0052305E" w:rsidRDefault="00FF6498" w:rsidP="00FF6498">
    <w:pPr>
      <w:tabs>
        <w:tab w:val="center" w:pos="4252"/>
        <w:tab w:val="right" w:pos="8504"/>
      </w:tabs>
      <w:ind w:right="360"/>
      <w:jc w:val="center"/>
      <w:rPr>
        <w:rFonts w:ascii="Calibri" w:eastAsia="Calibri" w:hAnsi="Calibri"/>
        <w:b/>
        <w:color w:val="000080"/>
        <w:sz w:val="18"/>
        <w:szCs w:val="18"/>
      </w:rPr>
    </w:pPr>
    <w:r w:rsidRPr="0052305E">
      <w:rPr>
        <w:rFonts w:ascii="Calibri" w:eastAsia="Calibri" w:hAnsi="Calibri"/>
        <w:noProof/>
        <w:sz w:val="18"/>
        <w:szCs w:val="18"/>
      </w:rPr>
      <w:drawing>
        <wp:inline distT="0" distB="0" distL="0" distR="0" wp14:anchorId="26C64CE1" wp14:editId="20800B6A">
          <wp:extent cx="942975" cy="81915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F5A7A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ESTADO DO MARANHÃO</w:t>
    </w:r>
  </w:p>
  <w:p w14:paraId="19BEF355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ASSEMBLEIA LEGISLATIVA DO MARANHÃO</w:t>
    </w:r>
  </w:p>
  <w:p w14:paraId="4D89C4D7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INSTALADA EM 16 DE FEVEREIRO DE 1835</w:t>
    </w:r>
  </w:p>
  <w:p w14:paraId="39515874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DIRETORIA LEGISLATIVA</w:t>
    </w:r>
  </w:p>
  <w:p w14:paraId="00BB26A6" w14:textId="77777777" w:rsidR="00FF6498" w:rsidRDefault="00FF6498" w:rsidP="00FF6498">
    <w:pPr>
      <w:pStyle w:val="Cabealho"/>
    </w:pPr>
  </w:p>
  <w:p w14:paraId="2E687DFC" w14:textId="77777777" w:rsidR="001E1CA1" w:rsidRDefault="001E1C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60"/>
    <w:rsid w:val="000214BF"/>
    <w:rsid w:val="00086BA9"/>
    <w:rsid w:val="000C522A"/>
    <w:rsid w:val="000D261B"/>
    <w:rsid w:val="000E017E"/>
    <w:rsid w:val="000E187B"/>
    <w:rsid w:val="00115468"/>
    <w:rsid w:val="00137B7F"/>
    <w:rsid w:val="001A2F92"/>
    <w:rsid w:val="001D369A"/>
    <w:rsid w:val="001E1CA1"/>
    <w:rsid w:val="002321CB"/>
    <w:rsid w:val="00257AEA"/>
    <w:rsid w:val="0026079C"/>
    <w:rsid w:val="00285840"/>
    <w:rsid w:val="00293ABE"/>
    <w:rsid w:val="002D5B6D"/>
    <w:rsid w:val="00325925"/>
    <w:rsid w:val="00326643"/>
    <w:rsid w:val="003D406A"/>
    <w:rsid w:val="0044254F"/>
    <w:rsid w:val="00460C94"/>
    <w:rsid w:val="004708AE"/>
    <w:rsid w:val="00477751"/>
    <w:rsid w:val="004A11CE"/>
    <w:rsid w:val="004B6D43"/>
    <w:rsid w:val="004C0E60"/>
    <w:rsid w:val="004C4364"/>
    <w:rsid w:val="00515FA7"/>
    <w:rsid w:val="00520867"/>
    <w:rsid w:val="00543F18"/>
    <w:rsid w:val="005539C0"/>
    <w:rsid w:val="005C2796"/>
    <w:rsid w:val="00651A3F"/>
    <w:rsid w:val="00695E14"/>
    <w:rsid w:val="006A1CDF"/>
    <w:rsid w:val="006F5923"/>
    <w:rsid w:val="00703365"/>
    <w:rsid w:val="00717F3D"/>
    <w:rsid w:val="007475C0"/>
    <w:rsid w:val="00760DF0"/>
    <w:rsid w:val="00772A07"/>
    <w:rsid w:val="00791794"/>
    <w:rsid w:val="007A2ED0"/>
    <w:rsid w:val="007B6356"/>
    <w:rsid w:val="007C1E54"/>
    <w:rsid w:val="007C56DA"/>
    <w:rsid w:val="007C6423"/>
    <w:rsid w:val="007C7189"/>
    <w:rsid w:val="007E310E"/>
    <w:rsid w:val="008024A6"/>
    <w:rsid w:val="0083463B"/>
    <w:rsid w:val="00844767"/>
    <w:rsid w:val="0087756A"/>
    <w:rsid w:val="008E4665"/>
    <w:rsid w:val="008F4A5F"/>
    <w:rsid w:val="00905C4D"/>
    <w:rsid w:val="009759D4"/>
    <w:rsid w:val="00993BB0"/>
    <w:rsid w:val="009A4000"/>
    <w:rsid w:val="009C161F"/>
    <w:rsid w:val="009C5A4D"/>
    <w:rsid w:val="009C69C4"/>
    <w:rsid w:val="009D46CF"/>
    <w:rsid w:val="00A018F2"/>
    <w:rsid w:val="00A02ADD"/>
    <w:rsid w:val="00A16471"/>
    <w:rsid w:val="00A21384"/>
    <w:rsid w:val="00A27605"/>
    <w:rsid w:val="00AA70F7"/>
    <w:rsid w:val="00AB0E0B"/>
    <w:rsid w:val="00AB7DE4"/>
    <w:rsid w:val="00AD3B9F"/>
    <w:rsid w:val="00AD74BB"/>
    <w:rsid w:val="00B102D1"/>
    <w:rsid w:val="00B31B75"/>
    <w:rsid w:val="00B555A8"/>
    <w:rsid w:val="00B67B22"/>
    <w:rsid w:val="00BE5CC3"/>
    <w:rsid w:val="00BF328F"/>
    <w:rsid w:val="00C30FF7"/>
    <w:rsid w:val="00C36B49"/>
    <w:rsid w:val="00C534A6"/>
    <w:rsid w:val="00C65289"/>
    <w:rsid w:val="00C7717E"/>
    <w:rsid w:val="00C81933"/>
    <w:rsid w:val="00C85863"/>
    <w:rsid w:val="00CC16CE"/>
    <w:rsid w:val="00D239D3"/>
    <w:rsid w:val="00D2444A"/>
    <w:rsid w:val="00D2636E"/>
    <w:rsid w:val="00D6651E"/>
    <w:rsid w:val="00D71A62"/>
    <w:rsid w:val="00D71B1D"/>
    <w:rsid w:val="00DD34FB"/>
    <w:rsid w:val="00DF0D86"/>
    <w:rsid w:val="00E3124D"/>
    <w:rsid w:val="00E40CA0"/>
    <w:rsid w:val="00E669CB"/>
    <w:rsid w:val="00E73B0E"/>
    <w:rsid w:val="00E91966"/>
    <w:rsid w:val="00EB6FF0"/>
    <w:rsid w:val="00F25C7A"/>
    <w:rsid w:val="00F63AB6"/>
    <w:rsid w:val="00F66515"/>
    <w:rsid w:val="00F862A9"/>
    <w:rsid w:val="00F907C9"/>
    <w:rsid w:val="00FA490F"/>
    <w:rsid w:val="00FE57A6"/>
    <w:rsid w:val="00FF143E"/>
    <w:rsid w:val="00FF5E60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35673B7C"/>
  <w15:chartTrackingRefBased/>
  <w15:docId w15:val="{7E7F885B-C6F6-4413-A862-0AE45AEF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E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E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4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498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64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4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F6498"/>
    <w:pPr>
      <w:spacing w:line="360" w:lineRule="auto"/>
      <w:ind w:right="18" w:firstLine="1800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F6498"/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unhideWhenUsed/>
    <w:rsid w:val="00AB0E0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AB0E0B"/>
    <w:rPr>
      <w:rFonts w:ascii="Arial (W1)" w:hAnsi="Arial (W1)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0E0B"/>
    <w:rPr>
      <w:rFonts w:ascii="Arial (W1)" w:eastAsia="Times New Roman" w:hAnsi="Arial (W1)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rsid w:val="00AB0E0B"/>
    <w:rPr>
      <w:vertAlign w:val="superscript"/>
    </w:rPr>
  </w:style>
  <w:style w:type="paragraph" w:styleId="SemEspaamento">
    <w:name w:val="No Spacing"/>
    <w:uiPriority w:val="1"/>
    <w:qFormat/>
    <w:rsid w:val="00F66515"/>
    <w:pPr>
      <w:spacing w:after="0" w:line="240" w:lineRule="auto"/>
    </w:pPr>
  </w:style>
  <w:style w:type="paragraph" w:customStyle="1" w:styleId="Ementa">
    <w:name w:val="Ementa"/>
    <w:basedOn w:val="Normal"/>
    <w:uiPriority w:val="1"/>
    <w:qFormat/>
    <w:rsid w:val="004C4364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7F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7F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17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bruno rodrigues diniz</dc:creator>
  <cp:keywords/>
  <dc:description/>
  <cp:lastModifiedBy>Antônio Guimarães de Freitas</cp:lastModifiedBy>
  <cp:revision>2</cp:revision>
  <cp:lastPrinted>2023-02-27T13:06:00Z</cp:lastPrinted>
  <dcterms:created xsi:type="dcterms:W3CDTF">2025-02-25T19:56:00Z</dcterms:created>
  <dcterms:modified xsi:type="dcterms:W3CDTF">2025-02-25T19:56:00Z</dcterms:modified>
</cp:coreProperties>
</file>