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7CF5" w14:textId="77777777" w:rsidR="00250825" w:rsidRPr="005A7FAA" w:rsidRDefault="00250825" w:rsidP="005A7FAA">
      <w:pPr>
        <w:spacing w:after="20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5A7FAA">
        <w:rPr>
          <w:rFonts w:eastAsia="Calibri" w:cstheme="minorHAnsi"/>
          <w:b/>
          <w:sz w:val="24"/>
          <w:szCs w:val="24"/>
        </w:rPr>
        <w:t>COMISSÃO DE CONSTITUIÇÃO, JUSTIÇA E CIDADANIA</w:t>
      </w:r>
    </w:p>
    <w:p w14:paraId="3B766BB1" w14:textId="31AFFBAB" w:rsidR="00250825" w:rsidRPr="005A7FAA" w:rsidRDefault="00250825" w:rsidP="005A7FAA">
      <w:pPr>
        <w:spacing w:after="20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5A7FAA">
        <w:rPr>
          <w:rFonts w:eastAsia="Calibri" w:cstheme="minorHAnsi"/>
          <w:b/>
          <w:sz w:val="24"/>
          <w:szCs w:val="24"/>
        </w:rPr>
        <w:t>PARECER Nº</w:t>
      </w:r>
      <w:r w:rsidR="005A7FAA">
        <w:rPr>
          <w:rFonts w:eastAsia="Calibri" w:cstheme="minorHAnsi"/>
          <w:b/>
          <w:sz w:val="24"/>
          <w:szCs w:val="24"/>
        </w:rPr>
        <w:t xml:space="preserve"> 290</w:t>
      </w:r>
      <w:r w:rsidR="00E46273" w:rsidRPr="005A7FAA">
        <w:rPr>
          <w:rFonts w:eastAsia="Calibri" w:cstheme="minorHAnsi"/>
          <w:b/>
          <w:sz w:val="24"/>
          <w:szCs w:val="24"/>
        </w:rPr>
        <w:t xml:space="preserve"> </w:t>
      </w:r>
      <w:r w:rsidRPr="005A7FAA">
        <w:rPr>
          <w:rFonts w:eastAsia="Calibri" w:cstheme="minorHAnsi"/>
          <w:b/>
          <w:sz w:val="24"/>
          <w:szCs w:val="24"/>
        </w:rPr>
        <w:t>/202</w:t>
      </w:r>
      <w:r w:rsidR="00EE0F93" w:rsidRPr="005A7FAA">
        <w:rPr>
          <w:rFonts w:eastAsia="Calibri" w:cstheme="minorHAnsi"/>
          <w:b/>
          <w:sz w:val="24"/>
          <w:szCs w:val="24"/>
        </w:rPr>
        <w:t>5</w:t>
      </w:r>
      <w:r w:rsidR="005A7FAA">
        <w:rPr>
          <w:rFonts w:eastAsia="Calibri" w:cstheme="minorHAnsi"/>
          <w:b/>
          <w:sz w:val="24"/>
          <w:szCs w:val="24"/>
        </w:rPr>
        <w:t xml:space="preserve"> - CCJC</w:t>
      </w:r>
    </w:p>
    <w:p w14:paraId="490E30FA" w14:textId="77777777" w:rsidR="00250825" w:rsidRPr="00CE0894" w:rsidRDefault="00250825" w:rsidP="0025082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u w:val="single"/>
        </w:rPr>
      </w:pPr>
      <w:r w:rsidRPr="00CE0894">
        <w:rPr>
          <w:rFonts w:eastAsia="Calibri" w:cstheme="minorHAnsi"/>
          <w:b/>
          <w:color w:val="000000"/>
          <w:sz w:val="24"/>
          <w:szCs w:val="24"/>
          <w:u w:val="single"/>
        </w:rPr>
        <w:t>RELATÓRIO:</w:t>
      </w:r>
    </w:p>
    <w:p w14:paraId="431A150D" w14:textId="764B1C88" w:rsidR="004B534E" w:rsidRPr="00CE0894" w:rsidRDefault="00250825" w:rsidP="00CE0894">
      <w:pPr>
        <w:tabs>
          <w:tab w:val="left" w:pos="990"/>
        </w:tabs>
        <w:spacing w:after="0" w:line="360" w:lineRule="auto"/>
        <w:ind w:firstLine="1418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 xml:space="preserve">Cuida-se da análise de constitucionalidade, juridicidade, legalidade e técnica legislativa do </w:t>
      </w:r>
      <w:r w:rsidRPr="00CE0894">
        <w:rPr>
          <w:rFonts w:eastAsia="Times New Roman" w:cstheme="minorHAnsi"/>
          <w:b/>
          <w:bCs/>
          <w:sz w:val="24"/>
          <w:szCs w:val="24"/>
          <w:lang w:eastAsia="pt-BR"/>
        </w:rPr>
        <w:t>Projeto de Lei nº</w:t>
      </w:r>
      <w:r w:rsidR="00EF0878" w:rsidRPr="00CE08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CE0894" w:rsidRPr="00CE0894">
        <w:rPr>
          <w:rFonts w:eastAsia="Times New Roman" w:cstheme="minorHAnsi"/>
          <w:b/>
          <w:bCs/>
          <w:sz w:val="24"/>
          <w:szCs w:val="24"/>
          <w:lang w:eastAsia="pt-BR"/>
        </w:rPr>
        <w:t>176</w:t>
      </w:r>
      <w:r w:rsidR="00EE0F93" w:rsidRPr="00CE0894">
        <w:rPr>
          <w:rFonts w:eastAsia="Times New Roman" w:cstheme="minorHAnsi"/>
          <w:b/>
          <w:bCs/>
          <w:sz w:val="24"/>
          <w:szCs w:val="24"/>
          <w:lang w:eastAsia="pt-BR"/>
        </w:rPr>
        <w:t>/2025</w:t>
      </w:r>
      <w:r w:rsidRPr="00CE089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CE0894">
        <w:rPr>
          <w:rFonts w:eastAsia="Times New Roman" w:cstheme="minorHAnsi"/>
          <w:sz w:val="24"/>
          <w:szCs w:val="24"/>
          <w:lang w:eastAsia="pt-BR"/>
        </w:rPr>
        <w:t xml:space="preserve">de autoria </w:t>
      </w:r>
      <w:r w:rsidR="00CE0894" w:rsidRPr="00CE0894">
        <w:rPr>
          <w:rFonts w:eastAsia="Times New Roman" w:cstheme="minorHAnsi"/>
          <w:sz w:val="24"/>
          <w:szCs w:val="24"/>
          <w:lang w:eastAsia="pt-BR"/>
        </w:rPr>
        <w:t xml:space="preserve">do Senhor Deputado Guilherme Paz, </w:t>
      </w:r>
      <w:r w:rsidR="005A7FAA">
        <w:rPr>
          <w:rFonts w:eastAsia="Times New Roman" w:cstheme="minorHAnsi"/>
          <w:sz w:val="24"/>
          <w:szCs w:val="24"/>
          <w:lang w:eastAsia="pt-BR"/>
        </w:rPr>
        <w:t>que propõe a instituição</w:t>
      </w:r>
      <w:r w:rsidR="00CE0894" w:rsidRPr="00CE0894">
        <w:rPr>
          <w:rFonts w:cstheme="minorHAnsi"/>
        </w:rPr>
        <w:t xml:space="preserve"> </w:t>
      </w:r>
      <w:r w:rsidR="005A7FAA">
        <w:rPr>
          <w:rFonts w:cstheme="minorHAnsi"/>
        </w:rPr>
        <w:t>d</w:t>
      </w:r>
      <w:r w:rsidR="00CE0894" w:rsidRPr="00CE0894">
        <w:rPr>
          <w:rFonts w:cstheme="minorHAnsi"/>
        </w:rPr>
        <w:t>a Semana Estadual de Prevenção do Câncer de Pele do Pescador e da Pescadora Artesanal.</w:t>
      </w:r>
    </w:p>
    <w:p w14:paraId="7D14FEAE" w14:textId="77A71BFB" w:rsidR="004B534E" w:rsidRPr="00CE0894" w:rsidRDefault="00250825" w:rsidP="00CE0894">
      <w:pPr>
        <w:tabs>
          <w:tab w:val="left" w:pos="990"/>
        </w:tabs>
        <w:spacing w:after="0" w:line="360" w:lineRule="auto"/>
        <w:ind w:firstLine="1418"/>
        <w:jc w:val="both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CE0894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CE0894">
        <w:rPr>
          <w:rFonts w:eastAsia="Times New Roman" w:cstheme="minorHAnsi"/>
          <w:sz w:val="24"/>
          <w:szCs w:val="24"/>
          <w:lang w:eastAsia="pt-BR"/>
        </w:rPr>
        <w:t>Nos termos do presente Projeto de Lei</w:t>
      </w:r>
      <w:r w:rsidRPr="00CE0894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="005A7FAA">
        <w:rPr>
          <w:rFonts w:cstheme="minorHAnsi"/>
        </w:rPr>
        <w:t>f</w:t>
      </w:r>
      <w:r w:rsidR="00CE0894" w:rsidRPr="00CE0894">
        <w:rPr>
          <w:rFonts w:cstheme="minorHAnsi"/>
        </w:rPr>
        <w:t>ica instituída a "Semana Estadual de Prevenção do Câncer de Pele do Pescador e da Pescadora Artesanal", a ser realizada, anualmente, na semana em que recair o dia 29 (vinte e nove) de junho – Dia do Pescador, com o objetivo de mobilizar a sociedade, as entidades representativas e os poderes públicos para a adoção de medidas preventivas e de diagnóstico precoce do câncer de pele</w:t>
      </w:r>
      <w:r w:rsidR="005A7FAA">
        <w:rPr>
          <w:rFonts w:cstheme="minorHAnsi"/>
        </w:rPr>
        <w:t>.</w:t>
      </w:r>
    </w:p>
    <w:p w14:paraId="6B84097A" w14:textId="46709B30" w:rsidR="004B534E" w:rsidRPr="00CE0894" w:rsidRDefault="00EE0F93" w:rsidP="00CE0894">
      <w:pPr>
        <w:tabs>
          <w:tab w:val="left" w:pos="990"/>
        </w:tabs>
        <w:spacing w:after="0" w:line="360" w:lineRule="auto"/>
        <w:ind w:firstLine="1418"/>
        <w:jc w:val="both"/>
        <w:rPr>
          <w:rFonts w:cstheme="minorHAnsi"/>
        </w:rPr>
      </w:pPr>
      <w:r w:rsidRPr="00CE0894">
        <w:rPr>
          <w:rFonts w:cstheme="minorHAnsi"/>
          <w:sz w:val="24"/>
          <w:szCs w:val="24"/>
          <w:lang w:eastAsia="pt-BR"/>
        </w:rPr>
        <w:t xml:space="preserve">  </w:t>
      </w:r>
      <w:r w:rsidR="00250825" w:rsidRPr="00CE0894">
        <w:rPr>
          <w:rFonts w:eastAsia="Times New Roman" w:cstheme="minorHAnsi"/>
          <w:iCs/>
          <w:sz w:val="24"/>
          <w:szCs w:val="24"/>
          <w:lang w:eastAsia="pt-BR"/>
        </w:rPr>
        <w:t xml:space="preserve">Justifica </w:t>
      </w:r>
      <w:r w:rsidR="00CE0894" w:rsidRPr="00CE0894">
        <w:rPr>
          <w:rFonts w:eastAsia="Times New Roman" w:cstheme="minorHAnsi"/>
          <w:iCs/>
          <w:sz w:val="24"/>
          <w:szCs w:val="24"/>
          <w:lang w:eastAsia="pt-BR"/>
        </w:rPr>
        <w:t>o</w:t>
      </w:r>
      <w:r w:rsidR="00250825" w:rsidRPr="00CE0894">
        <w:rPr>
          <w:rFonts w:eastAsia="Times New Roman" w:cstheme="minorHAnsi"/>
          <w:iCs/>
          <w:sz w:val="24"/>
          <w:szCs w:val="24"/>
          <w:lang w:eastAsia="pt-BR"/>
        </w:rPr>
        <w:t xml:space="preserve"> autor</w:t>
      </w:r>
      <w:r w:rsidR="00CE0894" w:rsidRPr="00CE0894">
        <w:rPr>
          <w:rFonts w:eastAsia="Times New Roman" w:cstheme="minorHAnsi"/>
          <w:iCs/>
          <w:sz w:val="24"/>
          <w:szCs w:val="24"/>
          <w:lang w:eastAsia="pt-BR"/>
        </w:rPr>
        <w:t xml:space="preserve"> </w:t>
      </w:r>
      <w:r w:rsidR="00250825" w:rsidRPr="00CE0894">
        <w:rPr>
          <w:rFonts w:eastAsia="Times New Roman" w:cstheme="minorHAnsi"/>
          <w:iCs/>
          <w:sz w:val="24"/>
          <w:szCs w:val="24"/>
          <w:lang w:eastAsia="pt-BR"/>
        </w:rPr>
        <w:t xml:space="preserve">da presente proposição de Lei, </w:t>
      </w:r>
      <w:r w:rsidR="002E198C" w:rsidRPr="00CE0894">
        <w:rPr>
          <w:rFonts w:cstheme="minorHAnsi"/>
          <w:iCs/>
          <w:sz w:val="24"/>
          <w:szCs w:val="24"/>
          <w:lang w:eastAsia="pt-BR"/>
        </w:rPr>
        <w:t>que</w:t>
      </w:r>
      <w:r w:rsidR="00CE0894" w:rsidRPr="00CE0894">
        <w:rPr>
          <w:rFonts w:cstheme="minorHAnsi"/>
          <w:iCs/>
          <w:sz w:val="24"/>
          <w:szCs w:val="24"/>
          <w:lang w:eastAsia="pt-BR"/>
        </w:rPr>
        <w:t xml:space="preserve"> </w:t>
      </w:r>
      <w:r w:rsidR="005A7FAA">
        <w:rPr>
          <w:rFonts w:cstheme="minorHAnsi"/>
          <w:iCs/>
          <w:sz w:val="24"/>
          <w:szCs w:val="24"/>
          <w:lang w:eastAsia="pt-BR"/>
        </w:rPr>
        <w:t>a</w:t>
      </w:r>
      <w:r w:rsidR="00CE0894" w:rsidRPr="00CE0894">
        <w:rPr>
          <w:rFonts w:cstheme="minorHAnsi"/>
        </w:rPr>
        <w:t xml:space="preserve"> importância da prevenção se deve à alta probabilidade de cura quando a doença é descoberta ainda em seu estágio inicial. Desse modo, se diagnosticado precocemente, as chances de cura são superiores a 90%. O câncer de pele é o tipo de câncer mais comum no Brasil, representando aproximadamente 31,3% de todos os casos da doença no país. Um estudo com pescadores no Recife indicou que 84,4% dos entrevistados se expunham ao sol por cinco horas ou mais diariamente, e 62,2% não utilizavam medidas de proteção adequadas. No Maranhão, o câncer de pele é uma preocupação crescente. O Instituto Nacional de Câncer (INCA) estimou que, para o ano de 2023, o Maranhão teria 2.790 novos casos de câncer de pele não melanoma. Nosso estado é composto, em grande parte, por pescadores e pescadoras artesanais que trabalham em regime de economia familiar e ficam expostos ao sol. Esse grupo representa uma população de alto risco, suscetível a diversas doenças. Dessa forma, torna-se necessária a atuação do poder público para protegê-los. Para que as ações preventivas surtam efeito e se obtenha o engajamento desejado na procura do diagnóstico precoce, é preciso que Poder Público eduque o Pescador e a Pescadora Artesanal a respeito dos riscos e medidas preventivas envolvendo o câncer de pele. Promovendo palestras com médicos especialistas, publicando artigos e postagens nas redes sociais, criando anúncios em rádio, jornal e TV e distribuindo panfletos e folders com material sobre a doença. Destaca-se a existência de Campanha Nacional de Combate ao Câncer de Pele “DEZEMBRO LARANJA”. Desse modo, é urgente a necessidade de ações efetivas na esfera Estadual, sendo a semana do dia 29 – </w:t>
      </w:r>
      <w:r w:rsidR="00CE0894" w:rsidRPr="00CE0894">
        <w:rPr>
          <w:rFonts w:cstheme="minorHAnsi"/>
        </w:rPr>
        <w:lastRenderedPageBreak/>
        <w:t>Dia do Pescador, perfeitamente adequada e de acordo com a realidade local, uma vez que já são realizados diversos eventos em alusão à data por parte da sociedade civil e de entidades representativas.</w:t>
      </w:r>
      <w:r w:rsidRPr="00CE0894">
        <w:rPr>
          <w:rFonts w:cstheme="minorHAnsi"/>
          <w:iCs/>
          <w:sz w:val="24"/>
          <w:szCs w:val="24"/>
          <w:lang w:eastAsia="pt-BR"/>
        </w:rPr>
        <w:t xml:space="preserve"> Essa justificativa por si só atende a pertinência da matéria.</w:t>
      </w:r>
    </w:p>
    <w:p w14:paraId="6F22EF1A" w14:textId="76EFE07D" w:rsidR="00250825" w:rsidRPr="00CE0894" w:rsidRDefault="00250825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 xml:space="preserve">Como é sabido, o sistema normativo pátrio estabelece procedimentos e competências para um diploma normativo adentrar validamente o ordenamento jurídico.      </w:t>
      </w:r>
    </w:p>
    <w:p w14:paraId="5AFF261B" w14:textId="0BED0124" w:rsidR="00EF0878" w:rsidRPr="00CE0894" w:rsidRDefault="00250825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 xml:space="preserve">Segundo a doutrina – Alexandre de Morais, (Direito Constitucional. 11. ed. São Paulo: Atlas, 2002, p.524.) – a elaboração das normas jurídicas deve seguir o devido processo legislativo. Senão </w:t>
      </w:r>
      <w:r w:rsidRPr="00CE0894">
        <w:rPr>
          <w:rFonts w:eastAsia="Times New Roman" w:cstheme="minorHAnsi"/>
          <w:i/>
          <w:sz w:val="24"/>
          <w:szCs w:val="24"/>
          <w:lang w:eastAsia="pt-BR"/>
        </w:rPr>
        <w:t>vejamos</w:t>
      </w:r>
      <w:r w:rsidRPr="00CE0894">
        <w:rPr>
          <w:rFonts w:eastAsia="Times New Roman" w:cstheme="minorHAnsi"/>
          <w:sz w:val="24"/>
          <w:szCs w:val="24"/>
          <w:lang w:eastAsia="pt-BR"/>
        </w:rPr>
        <w:t>:</w:t>
      </w:r>
    </w:p>
    <w:p w14:paraId="5059D7D3" w14:textId="35817C4B" w:rsidR="00250825" w:rsidRPr="00CE0894" w:rsidRDefault="00250825" w:rsidP="00CE0894">
      <w:pPr>
        <w:spacing w:after="0" w:line="360" w:lineRule="auto"/>
        <w:ind w:left="1440" w:firstLine="1418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CE0894">
        <w:rPr>
          <w:rFonts w:eastAsia="Times New Roman" w:cstheme="minorHAnsi"/>
          <w:i/>
          <w:sz w:val="24"/>
          <w:szCs w:val="24"/>
          <w:lang w:eastAsia="pt-BR"/>
        </w:rPr>
        <w:t>“o respeito ao devido processo legislativo na elaboração das espécies normativas é um dogma corolário à observância do princípio da legalidade, consagrado constitucionalmente, uma vez que ninguém será obrigado a fazer ou deixar de fazer alguma coisa senão em virtude de espécie normativa devidamente elaborada pelo Poder competente”</w:t>
      </w:r>
    </w:p>
    <w:p w14:paraId="1F0B4912" w14:textId="77777777" w:rsidR="00EF0878" w:rsidRPr="00CE0894" w:rsidRDefault="00EF0878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1B9A21B" w14:textId="0965BCDE" w:rsidR="00250825" w:rsidRPr="00CE0894" w:rsidRDefault="00250825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>Portanto, torna-se notório que o processo de produção legiferante exige a observância estrita das regras constitucionais e legais, porquanto são requisitos essenciais indispensáveis, sendo evidente que seus desrespeitos ensejam vício formal à norma jurídica editada.</w:t>
      </w:r>
    </w:p>
    <w:p w14:paraId="698CA139" w14:textId="77777777" w:rsidR="00250825" w:rsidRPr="00CE0894" w:rsidRDefault="00250825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 xml:space="preserve">Ao examinar a matéria verifica-se que ela é de natureza legislativa e, quanto à iniciativa não se inclui dentre as de iniciativa privativa, constantes do art. 43, da CE/89. </w:t>
      </w:r>
    </w:p>
    <w:p w14:paraId="5312097B" w14:textId="77777777" w:rsidR="00250825" w:rsidRPr="00CE0894" w:rsidRDefault="00250825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>Assim, no caso em tela, a observância da reserva de iniciativa ao Projeto de Lei torna evidente por não haver qualquer vício formal à norma jurídica a ser editada.</w:t>
      </w:r>
    </w:p>
    <w:p w14:paraId="7602A499" w14:textId="77777777" w:rsidR="00250825" w:rsidRPr="00CE0894" w:rsidRDefault="00250825" w:rsidP="00CE0894">
      <w:pPr>
        <w:spacing w:after="0" w:line="36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>Desta feita, não há qualquer vício a macular o projeto, estando em consonância com as disposições legais e constitucionais desta Augusta Casa.</w:t>
      </w:r>
    </w:p>
    <w:p w14:paraId="0812ED6A" w14:textId="77777777" w:rsidR="00250825" w:rsidRDefault="00250825" w:rsidP="0025082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F7FA727" w14:textId="77777777" w:rsidR="00CE0894" w:rsidRDefault="00CE0894" w:rsidP="0025082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00E5A6F4" w14:textId="77777777" w:rsidR="005A7FAA" w:rsidRDefault="005A7FAA" w:rsidP="0025082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BBD10E5" w14:textId="77777777" w:rsidR="00CE0894" w:rsidRPr="00CE0894" w:rsidRDefault="00CE0894" w:rsidP="0025082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65C81A6" w14:textId="77777777" w:rsidR="00250825" w:rsidRPr="00CE0894" w:rsidRDefault="00250825" w:rsidP="00CE0894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eastAsia="Calibri" w:cstheme="minorHAnsi"/>
          <w:b/>
          <w:sz w:val="24"/>
          <w:szCs w:val="24"/>
        </w:rPr>
      </w:pPr>
      <w:r w:rsidRPr="00CE0894">
        <w:rPr>
          <w:rFonts w:eastAsia="Calibri" w:cstheme="minorHAnsi"/>
          <w:b/>
          <w:sz w:val="24"/>
          <w:szCs w:val="24"/>
          <w:u w:val="single"/>
        </w:rPr>
        <w:lastRenderedPageBreak/>
        <w:t>VOTO DO RELATOR</w:t>
      </w:r>
      <w:r w:rsidRPr="00CE0894">
        <w:rPr>
          <w:rFonts w:eastAsia="Calibri" w:cstheme="minorHAnsi"/>
          <w:b/>
          <w:sz w:val="24"/>
          <w:szCs w:val="24"/>
        </w:rPr>
        <w:t>:</w:t>
      </w:r>
    </w:p>
    <w:p w14:paraId="35E698A5" w14:textId="77777777" w:rsidR="00250825" w:rsidRPr="00CE0894" w:rsidRDefault="00250825" w:rsidP="00CE0894">
      <w:pPr>
        <w:spacing w:after="0" w:line="360" w:lineRule="auto"/>
        <w:ind w:right="18"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>A proposição sob exame está redigida de acordo com o que preceitua a legislação específica, assim sendo, votamos pela sua aprovação, presente os pressupostos de ordem constitucional e regimental.</w:t>
      </w:r>
    </w:p>
    <w:p w14:paraId="07C0F37D" w14:textId="5E54CC2A" w:rsidR="001512E4" w:rsidRPr="00CE0894" w:rsidRDefault="00250825" w:rsidP="00CE0894">
      <w:pPr>
        <w:spacing w:after="0" w:line="360" w:lineRule="auto"/>
        <w:ind w:right="18"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E0894">
        <w:rPr>
          <w:rFonts w:eastAsia="Times New Roman" w:cstheme="minorHAnsi"/>
          <w:sz w:val="24"/>
          <w:szCs w:val="24"/>
          <w:lang w:eastAsia="pt-BR"/>
        </w:rPr>
        <w:t>É o voto.</w:t>
      </w:r>
    </w:p>
    <w:p w14:paraId="6BC959B0" w14:textId="77777777" w:rsidR="00EE0F93" w:rsidRPr="00CE0894" w:rsidRDefault="00EE0F93" w:rsidP="004B534E">
      <w:pPr>
        <w:spacing w:after="0" w:line="360" w:lineRule="auto"/>
        <w:ind w:right="18"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B385B61" w14:textId="77777777" w:rsidR="00250825" w:rsidRPr="00CE0894" w:rsidRDefault="00250825" w:rsidP="00250825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CE0894">
        <w:rPr>
          <w:rFonts w:eastAsia="Calibri" w:cstheme="minorHAnsi"/>
          <w:b/>
          <w:sz w:val="24"/>
          <w:szCs w:val="24"/>
          <w:u w:val="single"/>
        </w:rPr>
        <w:t>PARECER DA COMISSÃO:</w:t>
      </w:r>
    </w:p>
    <w:p w14:paraId="5C166A49" w14:textId="28B449FD" w:rsidR="00250825" w:rsidRPr="00CE0894" w:rsidRDefault="00250825" w:rsidP="005A7FAA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E0894">
        <w:rPr>
          <w:rFonts w:eastAsia="Calibri" w:cstheme="minorHAnsi"/>
          <w:sz w:val="24"/>
          <w:szCs w:val="24"/>
        </w:rPr>
        <w:t xml:space="preserve">Os membros da Comissão de Constituição, Justiça e Cidadania </w:t>
      </w:r>
      <w:r w:rsidRPr="00CE0894">
        <w:rPr>
          <w:rFonts w:eastAsia="Calibri" w:cstheme="minorHAnsi"/>
          <w:b/>
          <w:sz w:val="24"/>
          <w:szCs w:val="24"/>
        </w:rPr>
        <w:t>votam</w:t>
      </w:r>
      <w:r w:rsidRPr="00CE0894">
        <w:rPr>
          <w:rFonts w:eastAsia="Calibri" w:cstheme="minorHAnsi"/>
          <w:sz w:val="24"/>
          <w:szCs w:val="24"/>
        </w:rPr>
        <w:t xml:space="preserve"> pela </w:t>
      </w:r>
      <w:r w:rsidRPr="00CE0894">
        <w:rPr>
          <w:rFonts w:eastAsia="Calibri" w:cstheme="minorHAnsi"/>
          <w:b/>
          <w:sz w:val="24"/>
          <w:szCs w:val="24"/>
        </w:rPr>
        <w:t xml:space="preserve">aprovação do Projeto de Lei nº </w:t>
      </w:r>
      <w:r w:rsidR="00EE0F93" w:rsidRPr="00CE0894">
        <w:rPr>
          <w:rFonts w:eastAsia="Calibri" w:cstheme="minorHAnsi"/>
          <w:b/>
          <w:sz w:val="24"/>
          <w:szCs w:val="24"/>
        </w:rPr>
        <w:t>1</w:t>
      </w:r>
      <w:r w:rsidR="00CE0894">
        <w:rPr>
          <w:rFonts w:eastAsia="Calibri" w:cstheme="minorHAnsi"/>
          <w:b/>
          <w:sz w:val="24"/>
          <w:szCs w:val="24"/>
        </w:rPr>
        <w:t>76</w:t>
      </w:r>
      <w:r w:rsidR="00EE0F93" w:rsidRPr="00CE0894">
        <w:rPr>
          <w:rFonts w:eastAsia="Calibri" w:cstheme="minorHAnsi"/>
          <w:b/>
          <w:sz w:val="24"/>
          <w:szCs w:val="24"/>
        </w:rPr>
        <w:t>/2025</w:t>
      </w:r>
      <w:r w:rsidRPr="00CE0894">
        <w:rPr>
          <w:rFonts w:eastAsia="Calibri" w:cstheme="minorHAnsi"/>
          <w:sz w:val="24"/>
          <w:szCs w:val="24"/>
        </w:rPr>
        <w:t>, nos termos do voto do Relator.</w:t>
      </w:r>
    </w:p>
    <w:p w14:paraId="62F853E3" w14:textId="77777777" w:rsidR="00250825" w:rsidRPr="00CE0894" w:rsidRDefault="00250825" w:rsidP="005A7FAA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E0894">
        <w:rPr>
          <w:rFonts w:eastAsia="Calibri" w:cstheme="minorHAnsi"/>
          <w:sz w:val="24"/>
          <w:szCs w:val="24"/>
        </w:rPr>
        <w:t>É o parecer.</w:t>
      </w:r>
    </w:p>
    <w:p w14:paraId="05EB9042" w14:textId="7DB42887" w:rsidR="00E46273" w:rsidRPr="00CE0894" w:rsidRDefault="000F5382" w:rsidP="005A7FAA">
      <w:pPr>
        <w:autoSpaceDE w:val="0"/>
        <w:autoSpaceDN w:val="0"/>
        <w:adjustRightInd w:val="0"/>
        <w:spacing w:before="120" w:after="12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E0894">
        <w:rPr>
          <w:rFonts w:eastAsia="Calibri" w:cstheme="minorHAnsi"/>
          <w:sz w:val="24"/>
          <w:szCs w:val="24"/>
        </w:rPr>
        <w:t xml:space="preserve"> </w:t>
      </w:r>
      <w:r w:rsidR="00E46273" w:rsidRPr="00CE0894">
        <w:rPr>
          <w:rFonts w:eastAsia="Calibri" w:cstheme="minorHAnsi"/>
          <w:sz w:val="24"/>
          <w:szCs w:val="24"/>
        </w:rPr>
        <w:t xml:space="preserve">SALA DAS COMISSÕES “DEPUTADO LÉO FRANKLIM”, em </w:t>
      </w:r>
      <w:r w:rsidR="00A765CF">
        <w:rPr>
          <w:rFonts w:eastAsia="Calibri" w:cstheme="minorHAnsi"/>
          <w:sz w:val="24"/>
          <w:szCs w:val="24"/>
        </w:rPr>
        <w:t>22</w:t>
      </w:r>
      <w:r w:rsidR="00E46273" w:rsidRPr="00CE0894">
        <w:rPr>
          <w:rFonts w:eastAsia="Calibri" w:cstheme="minorHAnsi"/>
          <w:sz w:val="24"/>
          <w:szCs w:val="24"/>
        </w:rPr>
        <w:t xml:space="preserve"> de </w:t>
      </w:r>
      <w:r w:rsidR="00CE0894">
        <w:rPr>
          <w:rFonts w:eastAsia="Calibri" w:cstheme="minorHAnsi"/>
          <w:sz w:val="24"/>
          <w:szCs w:val="24"/>
        </w:rPr>
        <w:t>abril</w:t>
      </w:r>
      <w:r w:rsidR="00E46273" w:rsidRPr="00CE0894">
        <w:rPr>
          <w:rFonts w:eastAsia="Calibri" w:cstheme="minorHAnsi"/>
          <w:sz w:val="24"/>
          <w:szCs w:val="24"/>
        </w:rPr>
        <w:t xml:space="preserve"> de 202</w:t>
      </w:r>
      <w:r w:rsidR="00EE0F93" w:rsidRPr="00CE0894">
        <w:rPr>
          <w:rFonts w:eastAsia="Calibri" w:cstheme="minorHAnsi"/>
          <w:sz w:val="24"/>
          <w:szCs w:val="24"/>
        </w:rPr>
        <w:t>5</w:t>
      </w:r>
      <w:r w:rsidR="00E46273" w:rsidRPr="00CE0894">
        <w:rPr>
          <w:rFonts w:eastAsia="Calibri" w:cstheme="minorHAnsi"/>
          <w:sz w:val="24"/>
          <w:szCs w:val="24"/>
        </w:rPr>
        <w:t xml:space="preserve">.        </w:t>
      </w:r>
    </w:p>
    <w:p w14:paraId="4802876A" w14:textId="77777777" w:rsidR="00A765CF" w:rsidRPr="00A765CF" w:rsidRDefault="00E46273" w:rsidP="00A765CF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E0894">
        <w:rPr>
          <w:rFonts w:eastAsia="Calibri" w:cstheme="minorHAnsi"/>
          <w:b/>
          <w:sz w:val="24"/>
          <w:szCs w:val="24"/>
        </w:rPr>
        <w:t xml:space="preserve">                     </w:t>
      </w:r>
      <w:r w:rsidR="00A765CF" w:rsidRPr="00A765C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Presidente</w:t>
      </w:r>
      <w:r w:rsidR="00A765CF"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Deputado Florêncio Neto</w:t>
      </w:r>
    </w:p>
    <w:p w14:paraId="2411CC5F" w14:textId="2E1FBC16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765C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           </w:t>
      </w:r>
      <w:r w:rsidRPr="00A765C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Relator:</w:t>
      </w: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Deputado Florêncio Neto</w:t>
      </w:r>
    </w:p>
    <w:p w14:paraId="59DA2157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203DF5BA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765C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Vota a favor:                                                 </w:t>
      </w:r>
      <w:r w:rsidRPr="00A765C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ab/>
        <w:t xml:space="preserve">              Vota contra:</w:t>
      </w:r>
    </w:p>
    <w:p w14:paraId="0408A25D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Deputado Júlio Mendonça                   </w:t>
      </w: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      __________________________</w:t>
      </w:r>
    </w:p>
    <w:p w14:paraId="5A496954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Deputado Arnaldo Melo                              </w:t>
      </w: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      __________________________</w:t>
      </w:r>
    </w:p>
    <w:p w14:paraId="4D5AA769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Deputado Ariston                                    </w:t>
      </w: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      __________________________</w:t>
      </w:r>
    </w:p>
    <w:p w14:paraId="29D55691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                </w:t>
      </w: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      __________________________</w:t>
      </w:r>
    </w:p>
    <w:p w14:paraId="7866AFF8" w14:textId="77777777" w:rsidR="00A765CF" w:rsidRPr="00A765CF" w:rsidRDefault="00A765CF" w:rsidP="00A765CF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                </w:t>
      </w:r>
      <w:r w:rsidRPr="00A765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      __________________________</w:t>
      </w:r>
    </w:p>
    <w:p w14:paraId="498B9B22" w14:textId="1679BF3F" w:rsidR="00E46273" w:rsidRPr="00CE0894" w:rsidRDefault="00E46273" w:rsidP="00E46273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 w:cstheme="minorHAnsi"/>
          <w:sz w:val="24"/>
          <w:szCs w:val="24"/>
        </w:rPr>
      </w:pPr>
      <w:r w:rsidRPr="00CE0894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</w:t>
      </w:r>
    </w:p>
    <w:p w14:paraId="109EE19E" w14:textId="77777777" w:rsidR="005A7FAA" w:rsidRDefault="005A7FAA" w:rsidP="00CE0894">
      <w:pPr>
        <w:autoSpaceDE w:val="0"/>
        <w:autoSpaceDN w:val="0"/>
        <w:adjustRightInd w:val="0"/>
        <w:spacing w:after="200" w:line="360" w:lineRule="auto"/>
        <w:rPr>
          <w:rFonts w:eastAsia="Calibri" w:cstheme="minorHAnsi"/>
          <w:color w:val="000000"/>
          <w:sz w:val="24"/>
          <w:szCs w:val="24"/>
        </w:rPr>
      </w:pPr>
    </w:p>
    <w:p w14:paraId="1EC1B089" w14:textId="77777777" w:rsidR="00CE0894" w:rsidRDefault="00CE0894" w:rsidP="00B31192">
      <w:pPr>
        <w:autoSpaceDE w:val="0"/>
        <w:autoSpaceDN w:val="0"/>
        <w:adjustRightInd w:val="0"/>
        <w:spacing w:after="200" w:line="360" w:lineRule="auto"/>
        <w:rPr>
          <w:rFonts w:eastAsia="Calibri" w:cstheme="minorHAnsi"/>
          <w:color w:val="000000"/>
          <w:sz w:val="24"/>
          <w:szCs w:val="24"/>
        </w:rPr>
      </w:pPr>
    </w:p>
    <w:p w14:paraId="6E0BC100" w14:textId="77777777" w:rsidR="00CE0894" w:rsidRPr="00CE0894" w:rsidRDefault="00CE0894" w:rsidP="00B31192">
      <w:pPr>
        <w:autoSpaceDE w:val="0"/>
        <w:autoSpaceDN w:val="0"/>
        <w:adjustRightInd w:val="0"/>
        <w:spacing w:after="200" w:line="360" w:lineRule="auto"/>
        <w:rPr>
          <w:rFonts w:eastAsia="Calibri" w:cstheme="minorHAnsi"/>
          <w:color w:val="000000"/>
          <w:sz w:val="24"/>
          <w:szCs w:val="24"/>
        </w:rPr>
      </w:pPr>
    </w:p>
    <w:sectPr w:rsidR="00CE0894" w:rsidRPr="00CE0894" w:rsidSect="0052305E">
      <w:headerReference w:type="default" r:id="rId6"/>
      <w:footerReference w:type="even" r:id="rId7"/>
      <w:footerReference w:type="default" r:id="rId8"/>
      <w:pgSz w:w="11907" w:h="16840" w:code="9"/>
      <w:pgMar w:top="2810" w:right="1531" w:bottom="1134" w:left="1701" w:header="142" w:footer="851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FC51" w14:textId="77777777" w:rsidR="00250825" w:rsidRDefault="00250825" w:rsidP="00250825">
      <w:pPr>
        <w:spacing w:after="0" w:line="240" w:lineRule="auto"/>
      </w:pPr>
      <w:r>
        <w:separator/>
      </w:r>
    </w:p>
  </w:endnote>
  <w:endnote w:type="continuationSeparator" w:id="0">
    <w:p w14:paraId="0A1DAE9F" w14:textId="77777777" w:rsidR="00250825" w:rsidRDefault="00250825" w:rsidP="0025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B175" w14:textId="77777777" w:rsidR="00D07C80" w:rsidRDefault="008A30CA" w:rsidP="00783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84AC0C" w14:textId="77777777" w:rsidR="00D07C80" w:rsidRDefault="00D07C80" w:rsidP="00715B2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FDC8" w14:textId="77777777" w:rsidR="00D07C80" w:rsidRDefault="008A30CA" w:rsidP="00783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5E2B9F65" w14:textId="77777777" w:rsidR="00D07C80" w:rsidRDefault="00D07C80" w:rsidP="00715B2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2A87" w14:textId="77777777" w:rsidR="00250825" w:rsidRDefault="00250825" w:rsidP="00250825">
      <w:pPr>
        <w:spacing w:after="0" w:line="240" w:lineRule="auto"/>
      </w:pPr>
      <w:r>
        <w:separator/>
      </w:r>
    </w:p>
  </w:footnote>
  <w:footnote w:type="continuationSeparator" w:id="0">
    <w:p w14:paraId="2CA297AD" w14:textId="77777777" w:rsidR="00250825" w:rsidRDefault="00250825" w:rsidP="0025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9AC1" w14:textId="77777777" w:rsidR="00D07C80" w:rsidRPr="0052305E" w:rsidRDefault="008A30CA" w:rsidP="0052305E">
    <w:pPr>
      <w:tabs>
        <w:tab w:val="center" w:pos="4252"/>
        <w:tab w:val="right" w:pos="8504"/>
      </w:tabs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52305E">
      <w:rPr>
        <w:rFonts w:ascii="Calibri" w:eastAsia="Calibri" w:hAnsi="Calibri"/>
        <w:noProof/>
        <w:sz w:val="18"/>
        <w:szCs w:val="18"/>
      </w:rPr>
      <w:drawing>
        <wp:inline distT="0" distB="0" distL="0" distR="0" wp14:anchorId="0066A10C" wp14:editId="7C3CFF01">
          <wp:extent cx="942975" cy="819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F9244" w14:textId="77777777" w:rsidR="00D07C80" w:rsidRPr="00250825" w:rsidRDefault="008A30CA" w:rsidP="00250825">
    <w:pPr>
      <w:pStyle w:val="SemEspaamento"/>
      <w:jc w:val="center"/>
      <w:rPr>
        <w:b/>
        <w:bCs/>
      </w:rPr>
    </w:pPr>
    <w:r w:rsidRPr="00250825">
      <w:rPr>
        <w:b/>
        <w:bCs/>
      </w:rPr>
      <w:t>ESTADO DO MARANHÃO</w:t>
    </w:r>
  </w:p>
  <w:p w14:paraId="463AFE5D" w14:textId="77777777" w:rsidR="00D07C80" w:rsidRPr="00250825" w:rsidRDefault="008A30CA" w:rsidP="00250825">
    <w:pPr>
      <w:pStyle w:val="SemEspaamento"/>
      <w:jc w:val="center"/>
      <w:rPr>
        <w:b/>
        <w:bCs/>
      </w:rPr>
    </w:pPr>
    <w:r w:rsidRPr="00250825">
      <w:rPr>
        <w:b/>
        <w:bCs/>
      </w:rPr>
      <w:t>ASSEMBLEIA LEGISLATIVA DO MARANHÃO</w:t>
    </w:r>
  </w:p>
  <w:p w14:paraId="603D1072" w14:textId="77777777" w:rsidR="00D07C80" w:rsidRPr="00250825" w:rsidRDefault="008A30CA" w:rsidP="00250825">
    <w:pPr>
      <w:pStyle w:val="SemEspaamento"/>
      <w:jc w:val="center"/>
      <w:rPr>
        <w:b/>
        <w:bCs/>
      </w:rPr>
    </w:pPr>
    <w:r w:rsidRPr="00250825">
      <w:rPr>
        <w:b/>
        <w:bCs/>
      </w:rPr>
      <w:t>INSTALADA EM 16 DE FEVEREIRO DE 1835</w:t>
    </w:r>
  </w:p>
  <w:p w14:paraId="21ACDD60" w14:textId="77777777" w:rsidR="00D07C80" w:rsidRPr="00250825" w:rsidRDefault="008A30CA" w:rsidP="00250825">
    <w:pPr>
      <w:pStyle w:val="SemEspaamento"/>
      <w:jc w:val="center"/>
      <w:rPr>
        <w:b/>
        <w:bCs/>
      </w:rPr>
    </w:pPr>
    <w:r w:rsidRPr="00250825">
      <w:rPr>
        <w:b/>
        <w:bCs/>
      </w:rPr>
      <w:t>DIRETORIA LEGISLATIVA</w:t>
    </w:r>
  </w:p>
  <w:p w14:paraId="7FB57E4B" w14:textId="77777777" w:rsidR="00D07C80" w:rsidRDefault="00D07C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25"/>
    <w:rsid w:val="000F5382"/>
    <w:rsid w:val="00131A0C"/>
    <w:rsid w:val="001512E4"/>
    <w:rsid w:val="00250825"/>
    <w:rsid w:val="00284FA9"/>
    <w:rsid w:val="002E198C"/>
    <w:rsid w:val="004B534E"/>
    <w:rsid w:val="00533C55"/>
    <w:rsid w:val="005A7FAA"/>
    <w:rsid w:val="005C2D38"/>
    <w:rsid w:val="007B0EB2"/>
    <w:rsid w:val="007F22B0"/>
    <w:rsid w:val="008477EE"/>
    <w:rsid w:val="008A30CA"/>
    <w:rsid w:val="008F60B3"/>
    <w:rsid w:val="009932DF"/>
    <w:rsid w:val="00A765CF"/>
    <w:rsid w:val="00B31192"/>
    <w:rsid w:val="00B56FA5"/>
    <w:rsid w:val="00BE6112"/>
    <w:rsid w:val="00C51FB0"/>
    <w:rsid w:val="00CD576C"/>
    <w:rsid w:val="00CE0894"/>
    <w:rsid w:val="00D07C80"/>
    <w:rsid w:val="00DC4A96"/>
    <w:rsid w:val="00E46273"/>
    <w:rsid w:val="00E91D2F"/>
    <w:rsid w:val="00EE0F93"/>
    <w:rsid w:val="00E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1C30"/>
  <w15:chartTrackingRefBased/>
  <w15:docId w15:val="{E1C0DC65-1AD1-45A0-84AA-979E82E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5082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508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50825"/>
  </w:style>
  <w:style w:type="paragraph" w:styleId="Cabealho">
    <w:name w:val="header"/>
    <w:basedOn w:val="Normal"/>
    <w:link w:val="CabealhoChar"/>
    <w:rsid w:val="0025082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508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5082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E198C"/>
    <w:rPr>
      <w:b/>
      <w:bCs/>
    </w:rPr>
  </w:style>
  <w:style w:type="paragraph" w:styleId="NormalWeb">
    <w:name w:val="Normal (Web)"/>
    <w:basedOn w:val="Normal"/>
    <w:uiPriority w:val="99"/>
    <w:qFormat/>
    <w:rsid w:val="002E198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Guimarães de Freitas</dc:creator>
  <cp:keywords/>
  <dc:description/>
  <cp:lastModifiedBy>Antônio Guimarães de Freitas</cp:lastModifiedBy>
  <cp:revision>2</cp:revision>
  <cp:lastPrinted>2024-03-07T11:19:00Z</cp:lastPrinted>
  <dcterms:created xsi:type="dcterms:W3CDTF">2025-04-22T18:47:00Z</dcterms:created>
  <dcterms:modified xsi:type="dcterms:W3CDTF">2025-04-22T18:47:00Z</dcterms:modified>
</cp:coreProperties>
</file>